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BD0F7" w14:textId="77777777" w:rsidR="007106EB" w:rsidRPr="006C6EC0" w:rsidRDefault="007106EB" w:rsidP="006C6EC0">
      <w:pPr>
        <w:pStyle w:val="1"/>
        <w:spacing w:line="276" w:lineRule="auto"/>
      </w:pPr>
      <w:r w:rsidRPr="006C6EC0">
        <w:t>WRDS</w:t>
      </w:r>
      <w:r w:rsidRPr="006C6EC0">
        <w:t>数据库重要数据资源简介</w:t>
      </w:r>
    </w:p>
    <w:p w14:paraId="2D1C65A1" w14:textId="77777777" w:rsidR="007106EB" w:rsidRPr="006C6EC0" w:rsidRDefault="007106EB" w:rsidP="006C6EC0">
      <w:pPr>
        <w:pStyle w:val="2"/>
        <w:spacing w:line="276" w:lineRule="auto"/>
        <w:rPr>
          <w:rFonts w:ascii="Times New Roman" w:eastAsia="宋体" w:hAnsi="Times New Roman" w:cs="Times New Roman"/>
        </w:rPr>
      </w:pPr>
      <w:r w:rsidRPr="006C6EC0">
        <w:rPr>
          <w:rFonts w:ascii="Times New Roman" w:eastAsia="宋体" w:hAnsi="Times New Roman" w:cs="Times New Roman"/>
        </w:rPr>
        <w:t xml:space="preserve">1 </w:t>
      </w:r>
      <w:proofErr w:type="spellStart"/>
      <w:r w:rsidRPr="006C6EC0">
        <w:rPr>
          <w:rFonts w:ascii="Times New Roman" w:eastAsia="宋体" w:hAnsi="Times New Roman" w:cs="Times New Roman"/>
        </w:rPr>
        <w:t>Compustat</w:t>
      </w:r>
      <w:proofErr w:type="spellEnd"/>
      <w:r w:rsidRPr="006C6EC0">
        <w:rPr>
          <w:rFonts w:ascii="Times New Roman" w:eastAsia="宋体" w:hAnsi="Times New Roman" w:cs="Times New Roman"/>
        </w:rPr>
        <w:t xml:space="preserve"> </w:t>
      </w:r>
      <w:r w:rsidRPr="006C6EC0">
        <w:rPr>
          <w:rFonts w:ascii="Times New Roman" w:eastAsia="宋体" w:hAnsi="Times New Roman" w:cs="Times New Roman"/>
        </w:rPr>
        <w:t>简介</w:t>
      </w:r>
    </w:p>
    <w:p w14:paraId="3573996C" w14:textId="77777777" w:rsidR="007106EB" w:rsidRPr="006C6EC0" w:rsidRDefault="007106EB" w:rsidP="006C6EC0">
      <w:pPr>
        <w:spacing w:line="276" w:lineRule="auto"/>
        <w:ind w:firstLineChars="200" w:firstLine="480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S&amp;P  Global  Market  Intelligence </w:t>
      </w:r>
      <w:proofErr w:type="gram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同标普评级</w:t>
      </w:r>
      <w:proofErr w:type="gram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以及</w:t>
      </w:r>
      <w:proofErr w:type="gram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标普指</w:t>
      </w:r>
      <w:proofErr w:type="gram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数部门，同属于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S&amp;P  Global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旗下。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S&amp;P Global Market Intelligence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向全球超过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6,000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家企业、投资银行及机构、私募基金、高等院校及教研机构提供公司基本面信息、信用风险数据和市场风险指标。其中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, 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提供回溯至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1950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年的历史基本面数据信息，帮助商业及教研类用户执行深度历史研究和分析。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的使用有助于消除教研报告差异，提高数据一致性，从而提升我校经济金融类类教研成果。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2ED18619" w14:textId="77777777" w:rsidR="007106EB" w:rsidRPr="006C6EC0" w:rsidRDefault="007106EB" w:rsidP="006C6EC0">
      <w:pPr>
        <w:spacing w:line="276" w:lineRule="auto"/>
        <w:ind w:firstLineChars="200" w:firstLine="480"/>
        <w:rPr>
          <w:rFonts w:ascii="Times New Roman" w:hAnsi="Times New Roman"/>
          <w:color w:val="000000"/>
          <w:kern w:val="0"/>
          <w:sz w:val="24"/>
          <w:szCs w:val="24"/>
        </w:rPr>
      </w:pP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使用方便。用户使用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时无需编程或其他特殊数据操纵。此数据库在一个通用平台上，将不同数据集里关联公司数据整合一体，从而提供智能标准化的高质量数据。在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S&amp;P 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S&amp;P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Global Market Intelligence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数据的基础上，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用简单直接的时间序列格式将其他数据集整合一体。同时，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数据库支持多种访问方式，可通过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WRDS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网页界面、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WRDS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云、以及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UNIX®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系统会话访问。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提供全球性的数据覆盖，特色覆盖北美地区数据，提供深度历史数据及细分历史数据。在普通公司基本面数据之外，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还提供公司资本结构数据及银行年度和季度基本面数据。具体数据覆盖情况，请见下表：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371239F6" w14:textId="77777777" w:rsidR="007106EB" w:rsidRPr="006C6EC0" w:rsidRDefault="007106EB" w:rsidP="006C6EC0">
      <w:pPr>
        <w:spacing w:line="276" w:lineRule="auto"/>
        <w:jc w:val="center"/>
        <w:rPr>
          <w:rFonts w:ascii="Times New Roman" w:hAnsi="Times New Roman"/>
          <w:b/>
          <w:sz w:val="22"/>
        </w:rPr>
      </w:pPr>
      <w:proofErr w:type="spellStart"/>
      <w:r w:rsidRPr="006C6EC0">
        <w:rPr>
          <w:rFonts w:ascii="Times New Roman" w:hAnsi="Times New Roman"/>
          <w:b/>
          <w:sz w:val="22"/>
        </w:rPr>
        <w:t>Compustat</w:t>
      </w:r>
      <w:proofErr w:type="spellEnd"/>
      <w:r w:rsidRPr="006C6EC0">
        <w:rPr>
          <w:rFonts w:ascii="Times New Roman" w:hAnsi="Times New Roman"/>
          <w:b/>
          <w:sz w:val="22"/>
        </w:rPr>
        <w:t xml:space="preserve"> </w:t>
      </w:r>
      <w:r w:rsidRPr="006C6EC0">
        <w:rPr>
          <w:rFonts w:ascii="Times New Roman" w:hAnsi="Times New Roman"/>
          <w:b/>
          <w:sz w:val="22"/>
        </w:rPr>
        <w:t>数据覆盖概览表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5"/>
        <w:gridCol w:w="6911"/>
      </w:tblGrid>
      <w:tr w:rsidR="007106EB" w:rsidRPr="006C6EC0" w14:paraId="7AE2CB21" w14:textId="77777777" w:rsidTr="00D56529">
        <w:tc>
          <w:tcPr>
            <w:tcW w:w="1526" w:type="dxa"/>
          </w:tcPr>
          <w:p w14:paraId="514653C7" w14:textId="77777777" w:rsidR="007106EB" w:rsidRPr="006C6EC0" w:rsidRDefault="007106EB" w:rsidP="006C6EC0">
            <w:pPr>
              <w:spacing w:line="276" w:lineRule="auto"/>
              <w:rPr>
                <w:rFonts w:ascii="Times New Roman" w:hAnsi="Times New Roman"/>
              </w:rPr>
            </w:pPr>
            <w:r w:rsidRPr="006C6EC0">
              <w:rPr>
                <w:rFonts w:ascii="Times New Roman" w:hAnsi="Times New Roman"/>
              </w:rPr>
              <w:t>数据分类</w:t>
            </w:r>
          </w:p>
        </w:tc>
        <w:tc>
          <w:tcPr>
            <w:tcW w:w="7760" w:type="dxa"/>
          </w:tcPr>
          <w:p w14:paraId="1208E917" w14:textId="77777777" w:rsidR="007106EB" w:rsidRPr="006C6EC0" w:rsidRDefault="007106EB" w:rsidP="006C6EC0">
            <w:pPr>
              <w:spacing w:line="276" w:lineRule="auto"/>
              <w:rPr>
                <w:rFonts w:ascii="Times New Roman" w:hAnsi="Times New Roman"/>
              </w:rPr>
            </w:pPr>
            <w:r w:rsidRPr="006C6EC0">
              <w:rPr>
                <w:rFonts w:ascii="Times New Roman" w:hAnsi="Times New Roman"/>
              </w:rPr>
              <w:t>覆盖</w:t>
            </w:r>
          </w:p>
        </w:tc>
      </w:tr>
      <w:tr w:rsidR="007106EB" w:rsidRPr="006C6EC0" w14:paraId="45BBD29F" w14:textId="77777777" w:rsidTr="00D56529">
        <w:tc>
          <w:tcPr>
            <w:tcW w:w="1526" w:type="dxa"/>
          </w:tcPr>
          <w:p w14:paraId="69979E88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北美数据</w:t>
            </w:r>
          </w:p>
        </w:tc>
        <w:tc>
          <w:tcPr>
            <w:tcW w:w="7760" w:type="dxa"/>
          </w:tcPr>
          <w:p w14:paraId="21D79A51" w14:textId="30DA96A5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提供美国和加拿大上市公司及已退市公司的基础财务数据，市场交易数据，特殊行业数据，</w:t>
            </w:r>
            <w:proofErr w:type="gramStart"/>
            <w:r w:rsidRPr="006C6EC0">
              <w:rPr>
                <w:rFonts w:ascii="Times New Roman" w:hAnsi="Times New Roman"/>
                <w:kern w:val="0"/>
                <w:szCs w:val="21"/>
              </w:rPr>
              <w:t>标普指数和标普</w:t>
            </w:r>
            <w:proofErr w:type="gramEnd"/>
            <w:r w:rsidRPr="006C6EC0">
              <w:rPr>
                <w:rFonts w:ascii="Times New Roman" w:hAnsi="Times New Roman"/>
                <w:kern w:val="0"/>
                <w:szCs w:val="21"/>
              </w:rPr>
              <w:t>评级信息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6747CAFF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*34,000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家公司，覆盖北美所有的主要证券交易所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63906A2F" w14:textId="4CD2061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超过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300 </w:t>
            </w:r>
            <w:proofErr w:type="gramStart"/>
            <w:r w:rsidRPr="006C6EC0">
              <w:rPr>
                <w:rFonts w:ascii="Times New Roman" w:hAnsi="Times New Roman"/>
                <w:kern w:val="0"/>
                <w:szCs w:val="21"/>
              </w:rPr>
              <w:t>个</w:t>
            </w:r>
            <w:proofErr w:type="gramEnd"/>
            <w:r w:rsidRPr="006C6EC0">
              <w:rPr>
                <w:rFonts w:ascii="Times New Roman" w:hAnsi="Times New Roman"/>
                <w:kern w:val="0"/>
                <w:szCs w:val="21"/>
              </w:rPr>
              <w:t>年度数据科目和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个季度数据科目，覆盖利润表、资产负债表、现金流量表及附注科目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364665CA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财务数据可以回溯到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1979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</w:t>
            </w:r>
          </w:p>
        </w:tc>
      </w:tr>
      <w:tr w:rsidR="007106EB" w:rsidRPr="006C6EC0" w14:paraId="2715365D" w14:textId="77777777" w:rsidTr="00D56529">
        <w:tc>
          <w:tcPr>
            <w:tcW w:w="1526" w:type="dxa"/>
          </w:tcPr>
          <w:p w14:paraId="518BE83D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全球数据</w:t>
            </w:r>
          </w:p>
        </w:tc>
        <w:tc>
          <w:tcPr>
            <w:tcW w:w="7760" w:type="dxa"/>
          </w:tcPr>
          <w:p w14:paraId="7F595B20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收录北美以外的其他区域公司，包含基础财务数据及市场交易数据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6F2B280A" w14:textId="403E4B46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数据调整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: </w:t>
            </w:r>
            <w:proofErr w:type="spellStart"/>
            <w:r w:rsidRPr="006C6EC0">
              <w:rPr>
                <w:rFonts w:ascii="Times New Roman" w:hAnsi="Times New Roman"/>
                <w:kern w:val="0"/>
                <w:szCs w:val="21"/>
              </w:rPr>
              <w:t>Compustat</w:t>
            </w:r>
            <w:proofErr w:type="spellEnd"/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全球数据是经过标准化设定的，以便在不同国家和不同会计准则下面做比较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65ABF2C7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数据覆盖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: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超过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42,700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家公司，占全世界市值的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90%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以上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108DB2E8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年度基础财务数据可追溯到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1979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</w:t>
            </w:r>
          </w:p>
        </w:tc>
      </w:tr>
      <w:tr w:rsidR="007106EB" w:rsidRPr="006C6EC0" w14:paraId="0A6C8CE2" w14:textId="77777777" w:rsidTr="00D56529">
        <w:tc>
          <w:tcPr>
            <w:tcW w:w="1526" w:type="dxa"/>
          </w:tcPr>
          <w:p w14:paraId="73D35D95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历史数据</w:t>
            </w:r>
          </w:p>
        </w:tc>
        <w:tc>
          <w:tcPr>
            <w:tcW w:w="7760" w:type="dxa"/>
          </w:tcPr>
          <w:p w14:paraId="0EBA0821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提供北美地区公司历史更悠久的基本面数据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11D69C27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年度基础财务数据可追溯到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1950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7131468D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季度基础财务数据可追溯到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1962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</w:t>
            </w:r>
          </w:p>
        </w:tc>
      </w:tr>
      <w:tr w:rsidR="007106EB" w:rsidRPr="006C6EC0" w14:paraId="4EBA02D8" w14:textId="77777777" w:rsidTr="00D56529">
        <w:tc>
          <w:tcPr>
            <w:tcW w:w="1526" w:type="dxa"/>
          </w:tcPr>
          <w:p w14:paraId="01655EBF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银行数据</w:t>
            </w:r>
          </w:p>
        </w:tc>
        <w:tc>
          <w:tcPr>
            <w:tcW w:w="7760" w:type="dxa"/>
          </w:tcPr>
          <w:p w14:paraId="28F0720C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提供北美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2000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多家银行的存款和贷款以及其他行业相关数据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2B53F3BA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*20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年的年度历史数据</w:t>
            </w:r>
          </w:p>
        </w:tc>
      </w:tr>
      <w:tr w:rsidR="007106EB" w:rsidRPr="006C6EC0" w14:paraId="3ADB18C6" w14:textId="77777777" w:rsidTr="00D56529">
        <w:tc>
          <w:tcPr>
            <w:tcW w:w="1526" w:type="dxa"/>
          </w:tcPr>
          <w:p w14:paraId="510BF99D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细分历史数据</w:t>
            </w:r>
          </w:p>
        </w:tc>
        <w:tc>
          <w:tcPr>
            <w:tcW w:w="7760" w:type="dxa"/>
          </w:tcPr>
          <w:p w14:paraId="5373D5CC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提供美国和加拿大公司根据不同的业务和区域细分数据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1DDDE42E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数据覆盖：超过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31,000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家公司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64876FDB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lastRenderedPageBreak/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数据历史：可回溯到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1976</w:t>
            </w:r>
          </w:p>
        </w:tc>
      </w:tr>
      <w:tr w:rsidR="007106EB" w:rsidRPr="006C6EC0" w14:paraId="64C57B94" w14:textId="77777777" w:rsidTr="00D56529">
        <w:tc>
          <w:tcPr>
            <w:tcW w:w="1526" w:type="dxa"/>
          </w:tcPr>
          <w:p w14:paraId="02523335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lastRenderedPageBreak/>
              <w:t>高管数据</w:t>
            </w:r>
          </w:p>
        </w:tc>
        <w:tc>
          <w:tcPr>
            <w:tcW w:w="7760" w:type="dxa"/>
          </w:tcPr>
          <w:p w14:paraId="12342AF9" w14:textId="2615701C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提供透明高管薪酬数据，数据包含当前及历史的薪酬总额、期权激励和行业类比薪酬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 </w:t>
            </w:r>
          </w:p>
          <w:p w14:paraId="766142DC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*2,900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多家公司的高管薪酬数据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0C4ED8CD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*32,000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多位高管的薪酬信息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47DFF315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*220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多个数据科目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757D58D3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可回溯到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1992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年</w:t>
            </w:r>
          </w:p>
        </w:tc>
      </w:tr>
      <w:tr w:rsidR="007106EB" w:rsidRPr="006C6EC0" w14:paraId="4CD0AA61" w14:textId="77777777" w:rsidTr="00D56529">
        <w:tc>
          <w:tcPr>
            <w:tcW w:w="1526" w:type="dxa"/>
          </w:tcPr>
          <w:p w14:paraId="0722D062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报备日期数据库</w:t>
            </w:r>
          </w:p>
        </w:tc>
        <w:tc>
          <w:tcPr>
            <w:tcW w:w="7760" w:type="dxa"/>
          </w:tcPr>
          <w:p w14:paraId="0429A5F7" w14:textId="1F7AACA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提供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  <w:proofErr w:type="spellStart"/>
            <w:r w:rsidRPr="006C6EC0">
              <w:rPr>
                <w:rFonts w:ascii="Times New Roman" w:hAnsi="Times New Roman"/>
                <w:kern w:val="0"/>
                <w:szCs w:val="21"/>
              </w:rPr>
              <w:t>Compustat</w:t>
            </w:r>
            <w:proofErr w:type="spellEnd"/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数据库中市值超过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100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万美元的活跃与</w:t>
            </w:r>
            <w:proofErr w:type="gramStart"/>
            <w:r w:rsidRPr="006C6EC0">
              <w:rPr>
                <w:rFonts w:ascii="Times New Roman" w:hAnsi="Times New Roman"/>
                <w:kern w:val="0"/>
                <w:szCs w:val="21"/>
              </w:rPr>
              <w:t>非活跃</w:t>
            </w:r>
            <w:proofErr w:type="gramEnd"/>
            <w:r w:rsidRPr="006C6EC0">
              <w:rPr>
                <w:rFonts w:ascii="Times New Roman" w:hAnsi="Times New Roman"/>
                <w:kern w:val="0"/>
                <w:szCs w:val="21"/>
              </w:rPr>
              <w:t>公司的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SEC EDGAR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报备和报备日期</w:t>
            </w:r>
          </w:p>
        </w:tc>
      </w:tr>
      <w:tr w:rsidR="007106EB" w:rsidRPr="006C6EC0" w14:paraId="0F370224" w14:textId="77777777" w:rsidTr="00D56529">
        <w:tc>
          <w:tcPr>
            <w:tcW w:w="1526" w:type="dxa"/>
          </w:tcPr>
          <w:p w14:paraId="7C25272C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资本结构</w:t>
            </w:r>
          </w:p>
        </w:tc>
        <w:tc>
          <w:tcPr>
            <w:tcW w:w="7760" w:type="dxa"/>
          </w:tcPr>
          <w:p w14:paraId="385CBE51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公司债权和股权资本结构，详细组分，以及每个债务和权益组分的关键特点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58FE02AA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全球超过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60000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家上市和私营公司的债务资本结构数据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</w:t>
            </w:r>
          </w:p>
          <w:p w14:paraId="23B91A69" w14:textId="77777777" w:rsidR="007106EB" w:rsidRPr="006C6EC0" w:rsidRDefault="007106EB" w:rsidP="006C6EC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6C6EC0">
              <w:rPr>
                <w:rFonts w:ascii="Times New Roman" w:hAnsi="Times New Roman"/>
                <w:kern w:val="0"/>
                <w:szCs w:val="21"/>
              </w:rPr>
              <w:t>*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全球超过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 xml:space="preserve"> 80000 </w:t>
            </w:r>
            <w:r w:rsidRPr="006C6EC0">
              <w:rPr>
                <w:rFonts w:ascii="Times New Roman" w:hAnsi="Times New Roman"/>
                <w:kern w:val="0"/>
                <w:szCs w:val="21"/>
              </w:rPr>
              <w:t>家上市和私营公司的股权资本结构</w:t>
            </w:r>
          </w:p>
        </w:tc>
      </w:tr>
    </w:tbl>
    <w:p w14:paraId="4C59EA4E" w14:textId="77777777" w:rsidR="007106EB" w:rsidRPr="006C6EC0" w:rsidRDefault="007106EB" w:rsidP="006C6EC0">
      <w:pPr>
        <w:spacing w:line="276" w:lineRule="auto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通过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Compustat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和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WRDS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，可以实现以下数据搜索：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307E9A43" w14:textId="77777777" w:rsidR="007106EB" w:rsidRPr="006C6EC0" w:rsidRDefault="007106EB" w:rsidP="006C6EC0">
      <w:pPr>
        <w:pStyle w:val="a8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重要的基本面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03F0D3B6" w14:textId="3FD0E1C1" w:rsidR="007106EB" w:rsidRPr="00B53C2D" w:rsidRDefault="007106EB" w:rsidP="00B53C2D">
      <w:pPr>
        <w:pStyle w:val="a8"/>
        <w:numPr>
          <w:ilvl w:val="0"/>
          <w:numId w:val="2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使用准确客观的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COMPUSTAT 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财务数据，生成卓越研究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48F698A6" w14:textId="2247B514" w:rsidR="007106EB" w:rsidRPr="00B53C2D" w:rsidRDefault="007106EB" w:rsidP="00B53C2D">
      <w:pPr>
        <w:pStyle w:val="a8"/>
        <w:numPr>
          <w:ilvl w:val="0"/>
          <w:numId w:val="2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消除报告变异和偏差，确保一致性，从而提升您的研究。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374B069A" w14:textId="512CA10E" w:rsidR="007106EB" w:rsidRPr="00B53C2D" w:rsidRDefault="007106EB" w:rsidP="00B53C2D">
      <w:pPr>
        <w:pStyle w:val="a8"/>
        <w:numPr>
          <w:ilvl w:val="0"/>
          <w:numId w:val="2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机构投资者使用这些数据来运行复杂模型，您可使用同样的数据来执行研究。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544903CE" w14:textId="77777777" w:rsidR="007106EB" w:rsidRPr="006C6EC0" w:rsidRDefault="007106EB" w:rsidP="006C6EC0">
      <w:pPr>
        <w:pStyle w:val="a8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深挖历史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1023E914" w14:textId="62C27F68" w:rsidR="007106EB" w:rsidRPr="00B53C2D" w:rsidRDefault="007106EB" w:rsidP="00B53C2D">
      <w:pPr>
        <w:pStyle w:val="a8"/>
        <w:numPr>
          <w:ilvl w:val="1"/>
          <w:numId w:val="4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执行历史基本面分析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4CB165AD" w14:textId="1648D460" w:rsidR="007106EB" w:rsidRPr="00B53C2D" w:rsidRDefault="007106EB" w:rsidP="00B53C2D">
      <w:pPr>
        <w:pStyle w:val="a8"/>
        <w:numPr>
          <w:ilvl w:val="1"/>
          <w:numId w:val="1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利用回溯至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1950 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年，无可比拟的历史基本面数据来执行深度历史研究和分析。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4C968DA4" w14:textId="77777777" w:rsidR="007106EB" w:rsidRPr="006C6EC0" w:rsidRDefault="007106EB" w:rsidP="006C6EC0">
      <w:pPr>
        <w:pStyle w:val="a8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收集情报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46C4A6B7" w14:textId="26BB9A05" w:rsidR="007106EB" w:rsidRPr="00B53C2D" w:rsidRDefault="007106EB" w:rsidP="00B53C2D">
      <w:pPr>
        <w:pStyle w:val="a8"/>
        <w:numPr>
          <w:ilvl w:val="0"/>
          <w:numId w:val="5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洞察了解个别人士的从业历史和专业关系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013CA808" w14:textId="45D6EA8D" w:rsidR="007106EB" w:rsidRPr="00B53C2D" w:rsidRDefault="007106EB" w:rsidP="00B53C2D">
      <w:pPr>
        <w:pStyle w:val="a8"/>
        <w:numPr>
          <w:ilvl w:val="0"/>
          <w:numId w:val="5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利用私营和上市公司高管、董事会成员、以及投资专业人员的简档。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0F06DD74" w14:textId="79FC9708" w:rsidR="007106EB" w:rsidRPr="00B53C2D" w:rsidRDefault="007106EB" w:rsidP="00B53C2D">
      <w:pPr>
        <w:pStyle w:val="a8"/>
        <w:numPr>
          <w:ilvl w:val="0"/>
          <w:numId w:val="5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按履历、联络数据、教育、薪酬和从属组织等信息来研究个别人士。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156A5481" w14:textId="77777777" w:rsidR="007106EB" w:rsidRPr="006C6EC0" w:rsidRDefault="007106EB" w:rsidP="006C6EC0">
      <w:pPr>
        <w:pStyle w:val="a8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信用监察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2B38A208" w14:textId="3734138C" w:rsidR="007106EB" w:rsidRPr="00B53C2D" w:rsidRDefault="007106EB" w:rsidP="00B53C2D">
      <w:pPr>
        <w:pStyle w:val="a8"/>
        <w:numPr>
          <w:ilvl w:val="0"/>
          <w:numId w:val="7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对公司债权和股权资本结构进行完整分析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36ACE1D7" w14:textId="51D3F1AA" w:rsidR="007106EB" w:rsidRPr="00B53C2D" w:rsidRDefault="007106EB" w:rsidP="00B53C2D">
      <w:pPr>
        <w:pStyle w:val="a8"/>
        <w:numPr>
          <w:ilvl w:val="0"/>
          <w:numId w:val="7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利用详细的全球资本结构数据来分析公司的信用。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2160B788" w14:textId="599A3BA0" w:rsidR="007106EB" w:rsidRPr="00B53C2D" w:rsidRDefault="007106EB" w:rsidP="00B53C2D">
      <w:pPr>
        <w:pStyle w:val="a8"/>
        <w:numPr>
          <w:ilvl w:val="0"/>
          <w:numId w:val="7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利用利率、货币、到期日、以及债务总额的详细信息，发掘风险来源。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166DA40A" w14:textId="77777777" w:rsidR="007106EB" w:rsidRPr="006C6EC0" w:rsidRDefault="007106EB" w:rsidP="006C6EC0">
      <w:pPr>
        <w:pStyle w:val="a8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行业监控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073ADFFD" w14:textId="0832B819" w:rsidR="007106EB" w:rsidRPr="00B53C2D" w:rsidRDefault="007106EB" w:rsidP="00B53C2D">
      <w:pPr>
        <w:pStyle w:val="a8"/>
        <w:numPr>
          <w:ilvl w:val="0"/>
          <w:numId w:val="9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预测事件对未来表现的影响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78AFA3E8" w14:textId="6D56CDEE" w:rsidR="007106EB" w:rsidRPr="00B53C2D" w:rsidRDefault="007106EB" w:rsidP="00B53C2D">
      <w:pPr>
        <w:pStyle w:val="a8"/>
        <w:numPr>
          <w:ilvl w:val="0"/>
          <w:numId w:val="9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时刻掌握最新情况，获取重大发展、重大新闻和事件的结构化摘要。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052FE190" w14:textId="375439EC" w:rsidR="007106EB" w:rsidRPr="00B53C2D" w:rsidRDefault="007106EB" w:rsidP="00B53C2D">
      <w:pPr>
        <w:pStyle w:val="a8"/>
        <w:numPr>
          <w:ilvl w:val="0"/>
          <w:numId w:val="9"/>
        </w:numPr>
        <w:spacing w:line="276" w:lineRule="auto"/>
        <w:ind w:firstLineChars="0"/>
        <w:rPr>
          <w:rFonts w:ascii="Times New Roman" w:hAnsi="Times New Roman"/>
          <w:color w:val="000000"/>
          <w:kern w:val="0"/>
          <w:sz w:val="24"/>
          <w:szCs w:val="24"/>
        </w:rPr>
      </w:pP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监控高管变动、并购传言、公司指引变化、延迟报备、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 xml:space="preserve">SEC </w:t>
      </w:r>
      <w:r w:rsidRPr="00B53C2D">
        <w:rPr>
          <w:rFonts w:ascii="Times New Roman" w:hAnsi="Times New Roman"/>
          <w:color w:val="000000"/>
          <w:kern w:val="0"/>
          <w:sz w:val="24"/>
          <w:szCs w:val="24"/>
        </w:rPr>
        <w:t>查询等。</w:t>
      </w:r>
    </w:p>
    <w:p w14:paraId="18ED028B" w14:textId="77777777" w:rsidR="007106EB" w:rsidRPr="006C6EC0" w:rsidRDefault="007106EB" w:rsidP="006C6EC0">
      <w:pPr>
        <w:spacing w:line="276" w:lineRule="auto"/>
        <w:rPr>
          <w:rFonts w:ascii="Times New Roman" w:hAnsi="Times New Roman"/>
        </w:rPr>
      </w:pPr>
    </w:p>
    <w:p w14:paraId="0AAAB229" w14:textId="3FEE7590" w:rsidR="007106EB" w:rsidRPr="006C6EC0" w:rsidRDefault="00500FFC" w:rsidP="006C6EC0">
      <w:pPr>
        <w:pStyle w:val="2"/>
        <w:spacing w:line="276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</w:t>
      </w:r>
      <w:r w:rsidR="007106EB" w:rsidRPr="006C6EC0">
        <w:rPr>
          <w:rFonts w:ascii="Times New Roman" w:eastAsia="宋体" w:hAnsi="Times New Roman" w:cs="Times New Roman"/>
        </w:rPr>
        <w:t>. </w:t>
      </w:r>
      <w:proofErr w:type="spellStart"/>
      <w:r w:rsidR="007106EB" w:rsidRPr="006C6EC0">
        <w:rPr>
          <w:rFonts w:ascii="Times New Roman" w:eastAsia="宋体" w:hAnsi="Times New Roman" w:cs="Times New Roman"/>
        </w:rPr>
        <w:t>OptionMetrics</w:t>
      </w:r>
      <w:proofErr w:type="spellEnd"/>
      <w:r w:rsidR="007106EB" w:rsidRPr="006C6EC0">
        <w:rPr>
          <w:rFonts w:ascii="Times New Roman" w:eastAsia="宋体" w:hAnsi="Times New Roman" w:cs="Times New Roman"/>
        </w:rPr>
        <w:t>数据库（期权研究通用数据集）</w:t>
      </w:r>
    </w:p>
    <w:p w14:paraId="5181781B" w14:textId="77777777" w:rsidR="007106EB" w:rsidRPr="006C6EC0" w:rsidRDefault="007106EB" w:rsidP="006C6EC0">
      <w:pPr>
        <w:widowControl/>
        <w:shd w:val="clear" w:color="auto" w:fill="FFFFFF"/>
        <w:spacing w:line="276" w:lineRule="auto"/>
        <w:ind w:firstLineChars="200" w:firstLine="480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OptionMetrics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是用于实证研究和计量经济学研究的历史期权数据主要提供者。定量研究人员和金融专业人员利用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OptionMetrics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数据进行研究，像分析合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lastRenderedPageBreak/>
        <w:t>并和收购前的市场动向；探索期权价格与每日股票回报序列的相关性；调查可能的内幕交易案。</w:t>
      </w:r>
    </w:p>
    <w:p w14:paraId="6EE979E6" w14:textId="77777777" w:rsidR="007106EB" w:rsidRPr="006C6EC0" w:rsidRDefault="007106EB" w:rsidP="006C6EC0">
      <w:pPr>
        <w:widowControl/>
        <w:shd w:val="clear" w:color="auto" w:fill="FFFFFF"/>
        <w:spacing w:line="276" w:lineRule="auto"/>
        <w:ind w:firstLineChars="200" w:firstLine="480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 </w:t>
      </w:r>
      <w:proofErr w:type="spellStart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IvyDB</w:t>
      </w:r>
      <w:proofErr w:type="spellEnd"/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 xml:space="preserve"> US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涵盖了从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1996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年至今每一天停止和过期的期权。超过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3000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个基础股票和指数。使用正确的隐含波动模型（美国期权的一种复杂的二叉树）。使用预测算法来预测股利和日期；历史派系也包含在内。包含每个期权的日成交量和开放利息。跟踪每个公司的动态。不会提供给用户无意义的隐含波动值。将特殊结算排除在隐含波动率计算之外。包括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CUSIP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和股票代码在内的外部标识符包括在内。容易上手的股票、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CUSIP</w:t>
      </w: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和名称变化、公司合并的时间序列分析。所有历史期权的基本信息都包括在内，并且没有偏差。</w:t>
      </w:r>
    </w:p>
    <w:p w14:paraId="505AD761" w14:textId="0FA62ADB" w:rsidR="00F81270" w:rsidRPr="006C6EC0" w:rsidRDefault="007106EB" w:rsidP="006C6EC0">
      <w:pPr>
        <w:spacing w:line="276" w:lineRule="auto"/>
        <w:ind w:firstLineChars="200" w:firstLine="480"/>
        <w:rPr>
          <w:rFonts w:ascii="Times New Roman" w:hAnsi="Times New Roman"/>
        </w:rPr>
      </w:pPr>
      <w:r w:rsidRPr="006C6EC0">
        <w:rPr>
          <w:rFonts w:ascii="Times New Roman" w:hAnsi="Times New Roman"/>
          <w:color w:val="000000"/>
          <w:kern w:val="0"/>
          <w:sz w:val="24"/>
          <w:szCs w:val="24"/>
        </w:rPr>
        <w:t> </w:t>
      </w:r>
      <w:bookmarkStart w:id="0" w:name="_GoBack"/>
      <w:bookmarkEnd w:id="0"/>
      <w:proofErr w:type="spellStart"/>
      <w:r w:rsidR="000E1630" w:rsidRPr="000E1630">
        <w:rPr>
          <w:rFonts w:ascii="Times New Roman" w:hAnsi="Times New Roman" w:hint="eastAsia"/>
          <w:color w:val="000000"/>
          <w:kern w:val="0"/>
          <w:sz w:val="24"/>
          <w:szCs w:val="24"/>
        </w:rPr>
        <w:t>IvyDB</w:t>
      </w:r>
      <w:proofErr w:type="spellEnd"/>
      <w:r w:rsidR="000E1630" w:rsidRPr="000E1630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Futures US</w:t>
      </w:r>
      <w:r w:rsidR="000E1630" w:rsidRPr="000E1630">
        <w:rPr>
          <w:rFonts w:ascii="Times New Roman" w:hAnsi="Times New Roman" w:hint="eastAsia"/>
          <w:color w:val="000000"/>
          <w:kern w:val="0"/>
          <w:sz w:val="24"/>
          <w:szCs w:val="24"/>
        </w:rPr>
        <w:t>是针对美国上市期货期权市场历史期权定价数据的行业标准，涵盖六个行业领域</w:t>
      </w:r>
      <w:r w:rsidR="000E1630" w:rsidRPr="000E1630">
        <w:rPr>
          <w:rFonts w:ascii="Times New Roman" w:hAnsi="Times New Roman" w:hint="eastAsia"/>
          <w:color w:val="000000"/>
          <w:kern w:val="0"/>
          <w:sz w:val="24"/>
          <w:szCs w:val="24"/>
        </w:rPr>
        <w:t>Agriculture, Currency, Energy, Interest Rate, Equity, Metals</w:t>
      </w:r>
      <w:r w:rsidR="000E1630" w:rsidRPr="000E1630">
        <w:rPr>
          <w:rFonts w:ascii="Times New Roman" w:hAnsi="Times New Roman" w:hint="eastAsia"/>
          <w:color w:val="000000"/>
          <w:kern w:val="0"/>
          <w:sz w:val="24"/>
          <w:szCs w:val="24"/>
        </w:rPr>
        <w:t>。</w:t>
      </w:r>
    </w:p>
    <w:sectPr w:rsidR="00F81270" w:rsidRPr="006C6E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0EBAD" w14:textId="77777777" w:rsidR="00050BCA" w:rsidRDefault="00050BCA" w:rsidP="007106EB">
      <w:r>
        <w:separator/>
      </w:r>
    </w:p>
  </w:endnote>
  <w:endnote w:type="continuationSeparator" w:id="0">
    <w:p w14:paraId="3E70138D" w14:textId="77777777" w:rsidR="00050BCA" w:rsidRDefault="00050BCA" w:rsidP="0071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05D72" w14:textId="77777777" w:rsidR="00050BCA" w:rsidRDefault="00050BCA" w:rsidP="007106EB">
      <w:r>
        <w:separator/>
      </w:r>
    </w:p>
  </w:footnote>
  <w:footnote w:type="continuationSeparator" w:id="0">
    <w:p w14:paraId="02326931" w14:textId="77777777" w:rsidR="00050BCA" w:rsidRDefault="00050BCA" w:rsidP="00710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03F49"/>
    <w:multiLevelType w:val="hybridMultilevel"/>
    <w:tmpl w:val="AF5E39AC"/>
    <w:lvl w:ilvl="0" w:tplc="C6289A7A">
      <w:numFmt w:val="bullet"/>
      <w:lvlText w:val=""/>
      <w:lvlJc w:val="left"/>
      <w:pPr>
        <w:ind w:left="480" w:hanging="48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222854"/>
    <w:multiLevelType w:val="hybridMultilevel"/>
    <w:tmpl w:val="CCD481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EA038B"/>
    <w:multiLevelType w:val="hybridMultilevel"/>
    <w:tmpl w:val="56B858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CD0AC0"/>
    <w:multiLevelType w:val="hybridMultilevel"/>
    <w:tmpl w:val="C04A709E"/>
    <w:lvl w:ilvl="0" w:tplc="BEE260B6">
      <w:numFmt w:val="bullet"/>
      <w:lvlText w:val=""/>
      <w:lvlJc w:val="left"/>
      <w:pPr>
        <w:ind w:left="480" w:hanging="48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43426E7"/>
    <w:multiLevelType w:val="hybridMultilevel"/>
    <w:tmpl w:val="2E1686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9B22E9"/>
    <w:multiLevelType w:val="hybridMultilevel"/>
    <w:tmpl w:val="12B6490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705CCD"/>
    <w:multiLevelType w:val="hybridMultilevel"/>
    <w:tmpl w:val="35521346"/>
    <w:lvl w:ilvl="0" w:tplc="952A0482">
      <w:numFmt w:val="bullet"/>
      <w:lvlText w:val=""/>
      <w:lvlJc w:val="left"/>
      <w:pPr>
        <w:ind w:left="480" w:hanging="48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0067F6B"/>
    <w:multiLevelType w:val="hybridMultilevel"/>
    <w:tmpl w:val="8DA4620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3DD7237"/>
    <w:multiLevelType w:val="hybridMultilevel"/>
    <w:tmpl w:val="108A008C"/>
    <w:lvl w:ilvl="0" w:tplc="F14A2790">
      <w:numFmt w:val="bullet"/>
      <w:lvlText w:val=""/>
      <w:lvlJc w:val="left"/>
      <w:pPr>
        <w:ind w:left="480" w:hanging="48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9791639"/>
    <w:multiLevelType w:val="hybridMultilevel"/>
    <w:tmpl w:val="908271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71"/>
    <w:rsid w:val="00041571"/>
    <w:rsid w:val="00050BCA"/>
    <w:rsid w:val="000E1630"/>
    <w:rsid w:val="00500FFC"/>
    <w:rsid w:val="005C5AA7"/>
    <w:rsid w:val="006C6EC0"/>
    <w:rsid w:val="007106EB"/>
    <w:rsid w:val="00845F10"/>
    <w:rsid w:val="009D6DF0"/>
    <w:rsid w:val="00B004DB"/>
    <w:rsid w:val="00B53C2D"/>
    <w:rsid w:val="00D56529"/>
    <w:rsid w:val="00F8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C076B"/>
  <w15:chartTrackingRefBased/>
  <w15:docId w15:val="{7109FEA9-0E73-4887-B5F5-D385FE1D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06EB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06EB"/>
    <w:pPr>
      <w:keepNext/>
      <w:keepLines/>
      <w:spacing w:before="120" w:after="120" w:line="360" w:lineRule="auto"/>
      <w:jc w:val="center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106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06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06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06EB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106E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106EB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59"/>
    <w:rsid w:val="00710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106E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zhangsn</dc:creator>
  <cp:keywords/>
  <dc:description/>
  <cp:lastModifiedBy>z</cp:lastModifiedBy>
  <cp:revision>8</cp:revision>
  <dcterms:created xsi:type="dcterms:W3CDTF">2024-12-19T00:56:00Z</dcterms:created>
  <dcterms:modified xsi:type="dcterms:W3CDTF">2026-09-18T06:18:00Z</dcterms:modified>
</cp:coreProperties>
</file>