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黑体" w:eastAsia="黑体" w:hAnsiTheme="majorEastAsia"/>
          <w:sz w:val="32"/>
          <w:szCs w:val="32"/>
          <w:lang w:val="en-US" w:eastAsia="zh-CN"/>
        </w:rPr>
      </w:pPr>
      <w:r>
        <w:rPr>
          <w:rFonts w:hint="eastAsia" w:ascii="黑体" w:eastAsia="黑体" w:hAnsiTheme="majorEastAsia"/>
          <w:sz w:val="32"/>
          <w:szCs w:val="32"/>
          <w:lang w:val="en-US" w:eastAsia="zh-CN"/>
        </w:rPr>
        <w:t>世界经济与金融信息平台</w:t>
      </w:r>
    </w:p>
    <w:p>
      <w:pPr>
        <w:spacing w:before="156" w:beforeLines="50" w:after="156" w:afterLines="50"/>
        <w:jc w:val="center"/>
        <w:rPr>
          <w:rFonts w:ascii="黑体" w:eastAsia="黑体" w:cs="Times New Roman"/>
          <w:sz w:val="28"/>
          <w:szCs w:val="28"/>
        </w:rPr>
      </w:pPr>
      <w:r>
        <w:rPr>
          <w:rFonts w:hint="eastAsia"/>
        </w:rPr>
        <w:t xml:space="preserve">   </w:t>
      </w:r>
      <w:r>
        <w:rPr>
          <w:rFonts w:hint="eastAsia"/>
          <w:lang w:val="en-US" w:eastAsia="zh-CN"/>
        </w:rPr>
        <w:t xml:space="preserve">                      </w:t>
      </w:r>
      <w:r>
        <w:rPr>
          <w:rFonts w:hint="eastAsia"/>
          <w:lang w:eastAsia="zh-CN"/>
        </w:rPr>
        <w:t>——</w:t>
      </w:r>
      <w:r>
        <w:rPr>
          <w:rFonts w:hint="eastAsia"/>
        </w:rPr>
        <w:t>国内唯一汇集世界顶尖级研究机构研究成果的信息平台</w:t>
      </w:r>
    </w:p>
    <w:p>
      <w:pPr>
        <w:spacing w:line="360" w:lineRule="auto"/>
        <w:ind w:firstLine="420" w:firstLineChars="200"/>
      </w:pPr>
      <w:r>
        <w:rPr>
          <w:rFonts w:hint="eastAsia"/>
        </w:rPr>
        <w:t>随着中国融入世界的程度日益加深，中国经济对外部的依赖性与日俱增，在此背景下，中国国内的政府部门、科研院所、企、事业单位以及学者都迫切地需要及时了解、深刻洞察外部的经济金融形势。广泛研读国外权威机构的研究报告、及时了解外部经济金融形势的变化、广泛借鉴国际经验，将有助于国内的政府部门、专家学者、企事业单位在中国经济社会长期可持续发展过程中做出更加杰出的贡献。</w:t>
      </w:r>
    </w:p>
    <w:p>
      <w:pPr>
        <w:spacing w:line="360" w:lineRule="auto"/>
        <w:ind w:firstLine="420" w:firstLineChars="200"/>
      </w:pPr>
      <w:r>
        <w:rPr>
          <w:rFonts w:hint="eastAsia"/>
        </w:rPr>
        <w:t>鉴于此，国研网公司在在充分依托自身的资源、人力优势，在前期深入探索的基础上，竭力整合全球顶级研究机构、投资银行以及著名学者的研究成果，为广大用户提供高附加值、高质量的信息服务。</w:t>
      </w:r>
    </w:p>
    <w:p>
      <w:pPr>
        <w:spacing w:before="156" w:beforeLines="50" w:after="156" w:afterLines="50"/>
        <w:jc w:val="left"/>
        <w:rPr>
          <w:rFonts w:ascii="黑体" w:hAnsi="Calibri" w:eastAsia="黑体" w:cs="黑体"/>
          <w:sz w:val="24"/>
          <w:szCs w:val="24"/>
        </w:rPr>
      </w:pPr>
      <w:bookmarkStart w:id="0" w:name="_Toc418776648"/>
      <w:r>
        <w:rPr>
          <w:rFonts w:hint="eastAsia" w:ascii="黑体" w:hAnsi="Calibri" w:eastAsia="黑体" w:cs="黑体"/>
          <w:sz w:val="24"/>
          <w:szCs w:val="24"/>
        </w:rPr>
        <w:t>一、主要内容</w:t>
      </w:r>
      <w:bookmarkEnd w:id="0"/>
    </w:p>
    <w:p>
      <w:pPr>
        <w:spacing w:line="360" w:lineRule="auto"/>
        <w:ind w:firstLine="420" w:firstLineChars="200"/>
      </w:pPr>
      <w:r>
        <w:rPr>
          <w:rFonts w:hint="eastAsia"/>
          <w:lang w:val="en-US" w:eastAsia="zh-CN"/>
        </w:rPr>
        <w:t>世界经济与金融信息平台</w:t>
      </w:r>
      <w:r>
        <w:rPr>
          <w:rFonts w:hint="eastAsia"/>
        </w:rPr>
        <w:t>针对客户需求，同时考虑栏目建设的延展性，设置了7个主要栏目：</w:t>
      </w:r>
      <w:r>
        <w:rPr>
          <w:rFonts w:hint="eastAsia" w:ascii="宋体" w:hAnsi="宋体"/>
          <w:b/>
          <w:szCs w:val="21"/>
        </w:rPr>
        <w:t>全球经济、</w:t>
      </w:r>
      <w:r>
        <w:rPr>
          <w:rFonts w:hint="eastAsia" w:ascii="宋体" w:hAnsi="宋体" w:cs="宋体"/>
          <w:b/>
          <w:color w:val="000000"/>
          <w:kern w:val="0"/>
        </w:rPr>
        <w:t>全球金融</w:t>
      </w:r>
      <w:r>
        <w:rPr>
          <w:rFonts w:hint="eastAsia" w:ascii="宋体" w:hAnsi="宋体" w:cs="宋体"/>
          <w:color w:val="000000"/>
          <w:kern w:val="0"/>
        </w:rPr>
        <w:t>、</w:t>
      </w:r>
      <w:r>
        <w:rPr>
          <w:rFonts w:hint="eastAsia" w:ascii="宋体" w:hAnsi="宋体" w:cs="宋体"/>
          <w:b/>
          <w:color w:val="000000"/>
          <w:kern w:val="0"/>
          <w:szCs w:val="21"/>
        </w:rPr>
        <w:t>聚焦中国</w:t>
      </w:r>
      <w:r>
        <w:rPr>
          <w:rFonts w:hint="eastAsia" w:ascii="宋体" w:hAnsi="宋体" w:cs="宋体"/>
          <w:color w:val="000000"/>
          <w:kern w:val="0"/>
          <w:szCs w:val="21"/>
        </w:rPr>
        <w:t>、</w:t>
      </w:r>
      <w:r>
        <w:rPr>
          <w:rFonts w:hint="eastAsia" w:ascii="宋体" w:hAnsi="宋体" w:cs="宋体"/>
          <w:b/>
          <w:color w:val="000000"/>
          <w:kern w:val="0"/>
        </w:rPr>
        <w:t>国别研究</w:t>
      </w:r>
      <w:r>
        <w:rPr>
          <w:rFonts w:hint="eastAsia" w:ascii="宋体" w:hAnsi="宋体" w:cs="宋体"/>
          <w:color w:val="000000"/>
          <w:kern w:val="0"/>
          <w:szCs w:val="21"/>
        </w:rPr>
        <w:t>、</w:t>
      </w:r>
      <w:r>
        <w:rPr>
          <w:rFonts w:hint="eastAsia" w:ascii="宋体" w:hAnsi="宋体" w:cs="宋体"/>
          <w:b/>
          <w:color w:val="000000"/>
          <w:kern w:val="0"/>
          <w:szCs w:val="21"/>
        </w:rPr>
        <w:t>重点产业</w:t>
      </w:r>
      <w:r>
        <w:rPr>
          <w:rFonts w:hint="eastAsia" w:ascii="宋体" w:hAnsi="宋体" w:cs="宋体"/>
          <w:color w:val="000000"/>
          <w:kern w:val="0"/>
        </w:rPr>
        <w:t>、</w:t>
      </w:r>
      <w:r>
        <w:rPr>
          <w:rFonts w:hint="eastAsia" w:ascii="宋体" w:hAnsi="宋体" w:cs="宋体"/>
          <w:b/>
          <w:color w:val="000000"/>
          <w:kern w:val="0"/>
        </w:rPr>
        <w:t>中国视角</w:t>
      </w:r>
      <w:r>
        <w:rPr>
          <w:rFonts w:hint="eastAsia" w:ascii="宋体" w:hAnsi="宋体" w:cs="宋体"/>
          <w:color w:val="000000"/>
          <w:kern w:val="0"/>
        </w:rPr>
        <w:t>及</w:t>
      </w:r>
      <w:r>
        <w:rPr>
          <w:rFonts w:hint="eastAsia" w:ascii="宋体" w:hAnsi="宋体" w:cs="宋体"/>
          <w:b/>
          <w:color w:val="000000"/>
          <w:kern w:val="0"/>
        </w:rPr>
        <w:t>热点关注</w:t>
      </w:r>
      <w:r>
        <w:rPr>
          <w:rFonts w:hint="eastAsia" w:ascii="宋体" w:hAnsi="宋体" w:cs="宋体"/>
          <w:b/>
          <w:color w:val="000000"/>
          <w:kern w:val="0"/>
          <w:szCs w:val="21"/>
        </w:rPr>
        <w:t>。</w:t>
      </w:r>
      <w:r>
        <w:rPr>
          <w:rFonts w:hint="eastAsia" w:ascii="宋体" w:hAnsi="宋体" w:cs="宋体"/>
          <w:color w:val="000000"/>
          <w:kern w:val="0"/>
          <w:szCs w:val="21"/>
        </w:rPr>
        <w:t>与此同时，还为客户提供了2个辅助</w:t>
      </w:r>
      <w:r>
        <w:rPr>
          <w:rFonts w:hint="eastAsia" w:ascii="宋体" w:hAnsi="宋体"/>
          <w:szCs w:val="21"/>
        </w:rPr>
        <w:t>数据库——</w:t>
      </w:r>
      <w:r>
        <w:rPr>
          <w:rFonts w:hint="eastAsia" w:ascii="宋体" w:hAnsi="宋体"/>
          <w:b/>
          <w:szCs w:val="21"/>
        </w:rPr>
        <w:t>国际财经时评</w:t>
      </w:r>
      <w:r>
        <w:rPr>
          <w:rFonts w:hint="eastAsia" w:ascii="宋体" w:hAnsi="宋体"/>
          <w:szCs w:val="21"/>
        </w:rPr>
        <w:t>以及</w:t>
      </w:r>
      <w:r>
        <w:rPr>
          <w:rFonts w:hint="eastAsia" w:ascii="宋体" w:hAnsi="宋体"/>
          <w:b/>
          <w:szCs w:val="21"/>
        </w:rPr>
        <w:t>国际财经资讯</w:t>
      </w:r>
      <w:r>
        <w:rPr>
          <w:rFonts w:hint="eastAsia" w:ascii="宋体" w:hAnsi="宋体"/>
          <w:szCs w:val="21"/>
        </w:rPr>
        <w:t>，以帮助客户及时了解国际财经领域的重大经济事件</w:t>
      </w:r>
      <w:r>
        <w:rPr>
          <w:rFonts w:hint="eastAsia"/>
        </w:rPr>
        <w:t>。</w:t>
      </w:r>
    </w:p>
    <w:p>
      <w:pPr>
        <w:spacing w:line="360" w:lineRule="auto"/>
        <w:ind w:left="57" w:leftChars="27" w:right="57" w:firstLine="420" w:firstLineChars="200"/>
      </w:pPr>
      <w:r>
        <w:rPr>
          <w:rFonts w:hint="eastAsia"/>
          <w:lang w:val="en-US" w:eastAsia="zh-CN"/>
        </w:rPr>
        <w:t>世界经济与金融信息平台</w:t>
      </w:r>
      <w:r>
        <w:rPr>
          <w:rFonts w:hint="eastAsia"/>
        </w:rPr>
        <w:t>收集、编译来自国际</w:t>
      </w:r>
      <w:r>
        <w:t>/</w:t>
      </w:r>
      <w:r>
        <w:rPr>
          <w:rFonts w:hint="eastAsia"/>
        </w:rPr>
        <w:t>区域性组织、各国政府部门、知名研究机构和媒体的最新研究报告，涵盖国际经济、金融形势动态，对全球经济的分析判断与预测，对各国经济发展热点问题的研究评论以及最新的经济理论研究。具体内容如下：</w:t>
      </w:r>
      <w:bookmarkStart w:id="1" w:name="_Toc227558332"/>
      <w:bookmarkStart w:id="2" w:name="_Toc149463617"/>
      <w:bookmarkStart w:id="3" w:name="_Toc122925673"/>
    </w:p>
    <w:p>
      <w:pPr>
        <w:spacing w:before="156" w:beforeLines="50" w:after="156" w:afterLines="50"/>
        <w:ind w:left="57" w:leftChars="27" w:right="57" w:firstLine="422" w:firstLineChars="200"/>
        <w:rPr>
          <w:rFonts w:ascii="宋体" w:hAnsi="宋体"/>
          <w:b/>
          <w:szCs w:val="21"/>
        </w:rPr>
      </w:pPr>
      <w:r>
        <w:rPr>
          <w:rFonts w:hint="eastAsia" w:ascii="宋体" w:hAnsi="宋体"/>
          <w:b/>
          <w:szCs w:val="21"/>
        </w:rPr>
        <w:t>《全球经济》</w:t>
      </w:r>
      <w:bookmarkEnd w:id="1"/>
      <w:bookmarkStart w:id="13" w:name="_GoBack"/>
      <w:bookmarkEnd w:id="13"/>
    </w:p>
    <w:p>
      <w:pPr>
        <w:spacing w:line="360" w:lineRule="auto"/>
        <w:ind w:left="57" w:leftChars="27" w:right="57" w:firstLine="420" w:firstLineChars="200"/>
        <w:rPr>
          <w:rFonts w:ascii="宋体" w:hAnsi="宋体"/>
          <w:szCs w:val="21"/>
        </w:rPr>
      </w:pPr>
      <w:r>
        <w:rPr>
          <w:rFonts w:hint="eastAsia" w:ascii="宋体" w:hAnsi="宋体"/>
          <w:szCs w:val="21"/>
        </w:rPr>
        <w:t>第一时间收录全球顶尖机构与学者对全球经济的运行环境及发展趋势的最新分析报告，为客户及时提供最前沿、高质量的决策参考信息。本数据库分三个子库：</w:t>
      </w:r>
    </w:p>
    <w:p>
      <w:pPr>
        <w:numPr>
          <w:ilvl w:val="1"/>
          <w:numId w:val="2"/>
        </w:numPr>
        <w:tabs>
          <w:tab w:val="left" w:pos="900"/>
        </w:tabs>
        <w:spacing w:before="156" w:beforeLines="50" w:after="156" w:afterLines="50"/>
        <w:ind w:left="567" w:firstLine="0"/>
        <w:rPr>
          <w:rFonts w:ascii="宋体" w:hAnsi="宋体"/>
          <w:szCs w:val="21"/>
        </w:rPr>
      </w:pPr>
      <w:r>
        <w:rPr>
          <w:rFonts w:hint="eastAsia" w:ascii="宋体" w:hAnsi="宋体"/>
          <w:b/>
          <w:szCs w:val="21"/>
        </w:rPr>
        <w:t>中短期形势分析：</w:t>
      </w:r>
      <w:r>
        <w:rPr>
          <w:rFonts w:hint="eastAsia" w:ascii="宋体" w:hAnsi="宋体"/>
          <w:szCs w:val="21"/>
        </w:rPr>
        <w:t>主要着眼于全球经济的中短期经济形势分析，为相关决策者年度、季度决策分析提供信息支持。</w:t>
      </w:r>
    </w:p>
    <w:p>
      <w:pPr>
        <w:numPr>
          <w:ilvl w:val="1"/>
          <w:numId w:val="2"/>
        </w:numPr>
        <w:tabs>
          <w:tab w:val="left" w:pos="900"/>
        </w:tabs>
        <w:spacing w:before="156" w:beforeLines="50" w:after="156" w:afterLines="50"/>
        <w:ind w:left="567" w:firstLine="0"/>
        <w:rPr>
          <w:rFonts w:ascii="宋体" w:hAnsi="宋体"/>
          <w:b/>
          <w:szCs w:val="21"/>
        </w:rPr>
      </w:pPr>
      <w:r>
        <w:rPr>
          <w:rFonts w:hint="eastAsia" w:ascii="宋体" w:hAnsi="宋体"/>
          <w:b/>
          <w:szCs w:val="21"/>
        </w:rPr>
        <w:t>长周期分析与展望：</w:t>
      </w:r>
      <w:r>
        <w:rPr>
          <w:rFonts w:hint="eastAsia" w:ascii="宋体" w:hAnsi="宋体"/>
          <w:szCs w:val="21"/>
        </w:rPr>
        <w:t>收录有关全球经济长期走势的分析与预测报告，辅助政府部门、学者与企业进行长周期分析与决策。</w:t>
      </w:r>
    </w:p>
    <w:p>
      <w:pPr>
        <w:numPr>
          <w:ilvl w:val="1"/>
          <w:numId w:val="2"/>
        </w:numPr>
        <w:tabs>
          <w:tab w:val="left" w:pos="900"/>
        </w:tabs>
        <w:spacing w:before="156" w:beforeLines="50" w:after="156" w:afterLines="50"/>
        <w:ind w:left="567" w:firstLine="0"/>
        <w:rPr>
          <w:rFonts w:ascii="宋体" w:hAnsi="宋体"/>
          <w:b/>
          <w:szCs w:val="21"/>
        </w:rPr>
      </w:pPr>
      <w:r>
        <w:rPr>
          <w:rFonts w:hint="eastAsia"/>
          <w:b/>
          <w:szCs w:val="21"/>
        </w:rPr>
        <w:t>经济社会可持续发展：</w:t>
      </w:r>
      <w:r>
        <w:rPr>
          <w:rFonts w:hint="eastAsia"/>
          <w:szCs w:val="21"/>
        </w:rPr>
        <w:t>强调可持续发展的重要意义，收集国外著名机构与学者最新发布的有关可持续发展的相关报告。</w:t>
      </w:r>
      <w:bookmarkStart w:id="4" w:name="_Toc227558333"/>
    </w:p>
    <w:p>
      <w:pPr>
        <w:spacing w:before="156" w:beforeLines="50" w:after="156" w:afterLines="50"/>
        <w:ind w:left="540"/>
        <w:rPr>
          <w:rFonts w:ascii="宋体" w:hAnsi="宋体"/>
          <w:b/>
          <w:szCs w:val="21"/>
        </w:rPr>
      </w:pPr>
      <w:r>
        <w:rPr>
          <w:rFonts w:hint="eastAsia" w:ascii="宋体" w:hAnsi="宋体"/>
          <w:b/>
          <w:szCs w:val="21"/>
        </w:rPr>
        <w:t>《全球金融》</w:t>
      </w:r>
      <w:bookmarkEnd w:id="4"/>
    </w:p>
    <w:p>
      <w:pPr>
        <w:spacing w:line="360" w:lineRule="auto"/>
        <w:ind w:firstLine="420" w:firstLineChars="200"/>
        <w:rPr>
          <w:rFonts w:ascii="宋体" w:hAnsi="宋体"/>
          <w:szCs w:val="21"/>
        </w:rPr>
      </w:pPr>
      <w:r>
        <w:rPr>
          <w:rFonts w:hint="eastAsia" w:ascii="宋体" w:hAnsi="宋体"/>
          <w:szCs w:val="21"/>
        </w:rPr>
        <w:t>将持续跟踪全球金融发展前沿动态，并深入解析全球金融形势，追求前沿、多维、精准和深刻，以此帮助客户全面、及时、准确把握全球金融形势，探索全球金融发展趋势。该数据库旨在为决策机构、金融机构，研究机构以及学校等部门提供最权威的顶尖级金融形势分析报告。本数据库分四个子库：</w:t>
      </w:r>
    </w:p>
    <w:p>
      <w:pPr>
        <w:numPr>
          <w:ilvl w:val="1"/>
          <w:numId w:val="2"/>
        </w:numPr>
        <w:tabs>
          <w:tab w:val="left" w:pos="900"/>
        </w:tabs>
        <w:spacing w:line="360" w:lineRule="auto"/>
        <w:ind w:left="567" w:firstLine="0"/>
        <w:rPr>
          <w:rFonts w:ascii="宋体" w:hAnsi="宋体"/>
          <w:szCs w:val="21"/>
        </w:rPr>
      </w:pPr>
      <w:r>
        <w:rPr>
          <w:rFonts w:hint="eastAsia" w:ascii="宋体" w:hAnsi="宋体"/>
          <w:b/>
          <w:szCs w:val="21"/>
        </w:rPr>
        <w:t>金融市场</w:t>
      </w:r>
      <w:r>
        <w:rPr>
          <w:rFonts w:hint="eastAsia" w:ascii="宋体" w:hAnsi="宋体"/>
          <w:szCs w:val="21"/>
        </w:rPr>
        <w:t>：主要提供全球金融市场的季度分析报告，并提供同期有关国际金融市场的热点问题分析报告，帮助客户及时、准确了解全球金融市场信息。</w:t>
      </w:r>
    </w:p>
    <w:p>
      <w:pPr>
        <w:numPr>
          <w:ilvl w:val="1"/>
          <w:numId w:val="2"/>
        </w:numPr>
        <w:tabs>
          <w:tab w:val="left" w:pos="900"/>
        </w:tabs>
        <w:spacing w:line="360" w:lineRule="auto"/>
        <w:ind w:left="567" w:firstLine="0"/>
        <w:rPr>
          <w:rFonts w:ascii="宋体" w:hAnsi="宋体"/>
          <w:b/>
          <w:szCs w:val="21"/>
        </w:rPr>
      </w:pPr>
      <w:r>
        <w:rPr>
          <w:rFonts w:hint="eastAsia" w:ascii="宋体" w:hAnsi="宋体"/>
          <w:b/>
          <w:szCs w:val="21"/>
        </w:rPr>
        <w:t>金融发展：</w:t>
      </w:r>
      <w:r>
        <w:rPr>
          <w:rFonts w:hint="eastAsia" w:ascii="宋体" w:hAnsi="宋体"/>
          <w:szCs w:val="21"/>
        </w:rPr>
        <w:t>主要收录对于全球金融发展状况的探讨分析报告，并引导研究机构与学者在更高层次探讨全球金融发展的当前形势与未来趋势。</w:t>
      </w:r>
    </w:p>
    <w:p>
      <w:pPr>
        <w:numPr>
          <w:ilvl w:val="1"/>
          <w:numId w:val="2"/>
        </w:numPr>
        <w:tabs>
          <w:tab w:val="left" w:pos="900"/>
        </w:tabs>
        <w:spacing w:line="360" w:lineRule="auto"/>
        <w:ind w:left="567" w:firstLine="0"/>
        <w:rPr>
          <w:rFonts w:ascii="宋体" w:hAnsi="宋体"/>
          <w:b/>
          <w:szCs w:val="21"/>
        </w:rPr>
      </w:pPr>
      <w:r>
        <w:rPr>
          <w:rFonts w:hint="eastAsia" w:ascii="宋体" w:hAnsi="宋体"/>
          <w:b/>
          <w:szCs w:val="21"/>
        </w:rPr>
        <w:t>金融稳定：</w:t>
      </w:r>
      <w:r>
        <w:rPr>
          <w:rFonts w:hint="eastAsia" w:ascii="宋体" w:hAnsi="宋体"/>
          <w:szCs w:val="21"/>
        </w:rPr>
        <w:t>次贷危机的爆发将金融稳定又提高到一个新的高度，本数据库将为客户提供最权威的全球金融稳定分析报告。</w:t>
      </w:r>
    </w:p>
    <w:p>
      <w:pPr>
        <w:numPr>
          <w:ilvl w:val="1"/>
          <w:numId w:val="2"/>
        </w:numPr>
        <w:tabs>
          <w:tab w:val="left" w:pos="900"/>
        </w:tabs>
        <w:spacing w:line="360" w:lineRule="auto"/>
        <w:ind w:left="567" w:firstLine="0"/>
        <w:rPr>
          <w:szCs w:val="21"/>
        </w:rPr>
      </w:pPr>
      <w:r>
        <w:rPr>
          <w:rFonts w:hint="eastAsia"/>
          <w:b/>
        </w:rPr>
        <w:t>金融监管：</w:t>
      </w:r>
      <w:r>
        <w:rPr>
          <w:rFonts w:hint="eastAsia"/>
        </w:rPr>
        <w:t>次贷危机给各国金融监管提出了挑战，也使金融监管部门看到目前的监管实践存在的诸多不足与漏洞，本数据库将对这个领域进行跟踪，从而为我国金融监管部门提供国际前沿的金融监管的最佳实践，以及全球学术界在该领域的最新研究成果。</w:t>
      </w:r>
      <w:bookmarkStart w:id="5" w:name="_Toc227558334"/>
    </w:p>
    <w:p>
      <w:pPr>
        <w:spacing w:line="360" w:lineRule="auto"/>
        <w:rPr>
          <w:rFonts w:ascii="宋体" w:hAnsi="宋体"/>
          <w:b/>
          <w:szCs w:val="21"/>
        </w:rPr>
      </w:pPr>
      <w:r>
        <w:rPr>
          <w:rFonts w:hint="eastAsia" w:ascii="宋体" w:hAnsi="宋体"/>
          <w:b/>
        </w:rPr>
        <w:t>《热点关注》</w:t>
      </w:r>
      <w:bookmarkEnd w:id="5"/>
    </w:p>
    <w:p>
      <w:pPr>
        <w:spacing w:line="360" w:lineRule="auto"/>
        <w:ind w:left="57" w:leftChars="27" w:right="57" w:firstLine="420" w:firstLineChars="200"/>
        <w:rPr>
          <w:rFonts w:ascii="宋体" w:hAnsi="宋体"/>
          <w:szCs w:val="21"/>
        </w:rPr>
      </w:pPr>
      <w:r>
        <w:rPr>
          <w:rFonts w:hint="eastAsia" w:ascii="宋体" w:hAnsi="宋体"/>
          <w:szCs w:val="21"/>
        </w:rPr>
        <w:t>力求使客户能够准确把握当前全球热点问题的最新动态、特点与发展趋势，从而更好地指导客户进行理性决策。该数据库分为十个子库。</w:t>
      </w:r>
    </w:p>
    <w:p>
      <w:pPr>
        <w:numPr>
          <w:ilvl w:val="1"/>
          <w:numId w:val="2"/>
        </w:numPr>
        <w:tabs>
          <w:tab w:val="left" w:pos="900"/>
        </w:tabs>
        <w:spacing w:line="360" w:lineRule="auto"/>
        <w:ind w:left="567" w:firstLine="0"/>
        <w:rPr>
          <w:rFonts w:ascii="宋体" w:hAnsi="宋体"/>
          <w:szCs w:val="21"/>
        </w:rPr>
      </w:pPr>
      <w:r>
        <w:rPr>
          <w:rFonts w:hint="eastAsia" w:ascii="宋体" w:hAnsi="宋体"/>
          <w:b/>
          <w:szCs w:val="21"/>
        </w:rPr>
        <w:t>经济危机：</w:t>
      </w:r>
      <w:r>
        <w:rPr>
          <w:rFonts w:hint="eastAsia" w:ascii="宋体" w:hAnsi="宋体"/>
          <w:szCs w:val="21"/>
        </w:rPr>
        <w:t>对经济危机的研究将成为全球研究机构、监管机构与学者下一个十年研究的重点，本数据库将长期关注该领域的研究成果。</w:t>
      </w:r>
    </w:p>
    <w:p>
      <w:pPr>
        <w:numPr>
          <w:ilvl w:val="1"/>
          <w:numId w:val="2"/>
        </w:numPr>
        <w:tabs>
          <w:tab w:val="left" w:pos="900"/>
        </w:tabs>
        <w:spacing w:line="360" w:lineRule="auto"/>
        <w:ind w:left="567" w:firstLine="0"/>
        <w:rPr>
          <w:rFonts w:ascii="宋体" w:hAnsi="宋体"/>
          <w:b/>
          <w:szCs w:val="21"/>
        </w:rPr>
      </w:pPr>
      <w:r>
        <w:rPr>
          <w:rFonts w:hint="eastAsia" w:ascii="宋体" w:hAnsi="宋体"/>
          <w:b/>
          <w:color w:val="000000"/>
          <w:szCs w:val="21"/>
        </w:rPr>
        <w:t>全球经济失衡：</w:t>
      </w:r>
      <w:r>
        <w:rPr>
          <w:rFonts w:hint="eastAsia" w:ascii="宋体" w:hAnsi="宋体"/>
          <w:szCs w:val="21"/>
        </w:rPr>
        <w:t>从某种程度上来说，当前金融危机的重要原因就是全球经济失衡，如何再平衡全球经济将是国内外专家学者中期内热衷的话题。本数据库将编译国外</w:t>
      </w:r>
      <w:r>
        <w:rPr>
          <w:rFonts w:hint="eastAsia"/>
        </w:rPr>
        <w:t>著名研究机构及专家学者在全球经济失衡原因分析及对策研究方面的报告。</w:t>
      </w:r>
    </w:p>
    <w:p>
      <w:pPr>
        <w:numPr>
          <w:ilvl w:val="1"/>
          <w:numId w:val="2"/>
        </w:numPr>
        <w:tabs>
          <w:tab w:val="left" w:pos="900"/>
        </w:tabs>
        <w:spacing w:line="360" w:lineRule="auto"/>
        <w:ind w:left="567" w:firstLine="0"/>
        <w:rPr>
          <w:rFonts w:ascii="宋体" w:hAnsi="宋体"/>
          <w:b/>
          <w:szCs w:val="21"/>
        </w:rPr>
      </w:pPr>
      <w:r>
        <w:rPr>
          <w:rFonts w:hint="eastAsia" w:ascii="宋体" w:hAnsi="宋体"/>
          <w:b/>
          <w:color w:val="000000"/>
          <w:szCs w:val="21"/>
        </w:rPr>
        <w:t>国际金融体系：</w:t>
      </w:r>
      <w:r>
        <w:rPr>
          <w:rFonts w:hint="eastAsia" w:ascii="宋体" w:hAnsi="宋体"/>
          <w:szCs w:val="21"/>
        </w:rPr>
        <w:t>次贷危机曾一度使国际金融市场“停摆”，也引起了学者对国际金融体系的极大关注，思考如何构建一个和谐有序、公平合理的国际金融体系是摆在各国政府、国际机构面前的紧迫课题。本数据库将编译对该问题的研究分析报告。</w:t>
      </w:r>
    </w:p>
    <w:p>
      <w:pPr>
        <w:numPr>
          <w:ilvl w:val="1"/>
          <w:numId w:val="2"/>
        </w:numPr>
        <w:tabs>
          <w:tab w:val="left" w:pos="900"/>
        </w:tabs>
        <w:spacing w:line="360" w:lineRule="auto"/>
        <w:ind w:left="567" w:firstLine="0"/>
        <w:rPr>
          <w:rFonts w:ascii="宋体" w:hAnsi="宋体"/>
          <w:b/>
          <w:szCs w:val="21"/>
        </w:rPr>
      </w:pPr>
      <w:r>
        <w:rPr>
          <w:rFonts w:hint="eastAsia" w:ascii="宋体" w:hAnsi="宋体"/>
          <w:b/>
          <w:szCs w:val="21"/>
        </w:rPr>
        <w:t>国际贸易与投资：</w:t>
      </w:r>
      <w:r>
        <w:rPr>
          <w:rFonts w:hint="eastAsia" w:ascii="宋体" w:hAnsi="宋体"/>
          <w:szCs w:val="21"/>
        </w:rPr>
        <w:t>国际贸易与投资是全球化的主要表现形式，也是全球经济持续发展的强大动力，长期以来，我国经济的对外依存度逐步提高，但当前全球经济不景气给全球及我国外贸带来沉重打击，如何通过制度创新，抵制贸易保护主义的沉渣泛起，引领国际贸易与投资重新走上正轨是当前全球各国面临的挑战，本数据库将密切关注该领域的最新进展，并为我国相关决策部门提供有价值的分析报告。</w:t>
      </w:r>
    </w:p>
    <w:p>
      <w:pPr>
        <w:numPr>
          <w:ilvl w:val="1"/>
          <w:numId w:val="2"/>
        </w:numPr>
        <w:tabs>
          <w:tab w:val="left" w:pos="900"/>
        </w:tabs>
        <w:spacing w:line="360" w:lineRule="auto"/>
        <w:ind w:left="567" w:firstLine="0"/>
        <w:rPr>
          <w:rFonts w:ascii="宋体" w:hAnsi="宋体"/>
          <w:szCs w:val="21"/>
        </w:rPr>
      </w:pPr>
      <w:r>
        <w:rPr>
          <w:rFonts w:hint="eastAsia" w:ascii="宋体" w:hAnsi="宋体"/>
          <w:b/>
          <w:szCs w:val="21"/>
        </w:rPr>
        <w:t>大宗商品：</w:t>
      </w:r>
      <w:r>
        <w:rPr>
          <w:rFonts w:hint="eastAsia" w:ascii="宋体" w:hAnsi="宋体"/>
          <w:szCs w:val="21"/>
        </w:rPr>
        <w:t>大宗商品价格的起落从来没有像现在这样引起全球的广泛关注，本数据库将重点关注有关国际原油、铁矿石、农产品等大宗商品价格走势、市场发展趋势的分析报告。</w:t>
      </w:r>
    </w:p>
    <w:p>
      <w:pPr>
        <w:numPr>
          <w:ilvl w:val="1"/>
          <w:numId w:val="2"/>
        </w:numPr>
        <w:tabs>
          <w:tab w:val="left" w:pos="900"/>
        </w:tabs>
        <w:spacing w:line="360" w:lineRule="auto"/>
        <w:ind w:left="567" w:firstLine="0"/>
        <w:rPr>
          <w:rFonts w:ascii="宋体" w:hAnsi="宋体"/>
          <w:szCs w:val="21"/>
        </w:rPr>
      </w:pPr>
      <w:r>
        <w:rPr>
          <w:rFonts w:hint="eastAsia" w:ascii="宋体" w:hAnsi="宋体"/>
          <w:b/>
          <w:szCs w:val="21"/>
        </w:rPr>
        <w:t>社会发展：</w:t>
      </w:r>
      <w:r>
        <w:rPr>
          <w:rFonts w:hint="eastAsia" w:ascii="宋体" w:hAnsi="宋体"/>
          <w:szCs w:val="21"/>
        </w:rPr>
        <w:t>随着经济社会的发展，全球变暖、环境污染、替代能源、社保医疗等问题逐渐浮出水面，本数据库将关注这些关系到人类可持续发展的社会发展问题方面的深度报告。</w:t>
      </w:r>
    </w:p>
    <w:p>
      <w:pPr>
        <w:numPr>
          <w:ilvl w:val="1"/>
          <w:numId w:val="2"/>
        </w:numPr>
        <w:tabs>
          <w:tab w:val="left" w:pos="900"/>
        </w:tabs>
        <w:spacing w:line="360" w:lineRule="auto"/>
        <w:ind w:left="567" w:firstLine="0"/>
        <w:rPr>
          <w:rFonts w:ascii="宋体" w:hAnsi="宋体"/>
          <w:szCs w:val="21"/>
        </w:rPr>
      </w:pPr>
      <w:r>
        <w:rPr>
          <w:rFonts w:hint="eastAsia"/>
          <w:b/>
        </w:rPr>
        <w:t>食品安全：</w:t>
      </w:r>
      <w:r>
        <w:rPr>
          <w:rFonts w:hint="eastAsia"/>
        </w:rPr>
        <w:t>在经济危机的冲击下，部分国际与地区的贫困人口将遭遇食品短缺危机，而且有关食品安全的负面消息给世界各国带来沉重的压力，如何消除食品安全危机，保障充足的食品供给成为全球性重大问题，本数据库着重编译国外著名研究机构对食品安全问题的最新研究成果，为我国粮食安全与食品安全提供有价值的高端决策参考。</w:t>
      </w:r>
      <w:bookmarkStart w:id="6" w:name="_Toc227558335"/>
    </w:p>
    <w:bookmarkEnd w:id="6"/>
    <w:p>
      <w:pPr>
        <w:numPr>
          <w:ilvl w:val="1"/>
          <w:numId w:val="2"/>
        </w:numPr>
        <w:tabs>
          <w:tab w:val="left" w:pos="900"/>
        </w:tabs>
        <w:spacing w:line="360" w:lineRule="auto"/>
        <w:ind w:left="567" w:firstLine="0"/>
        <w:rPr>
          <w:rFonts w:ascii="宋体" w:hAnsi="宋体"/>
          <w:b/>
          <w:szCs w:val="21"/>
        </w:rPr>
      </w:pPr>
      <w:r>
        <w:rPr>
          <w:rFonts w:hint="eastAsia" w:ascii="宋体" w:hAnsi="宋体"/>
          <w:b/>
          <w:szCs w:val="21"/>
        </w:rPr>
        <w:t>城市化：</w:t>
      </w:r>
      <w:r>
        <w:rPr>
          <w:rFonts w:hint="eastAsia" w:ascii="宋体" w:hAnsi="宋体"/>
          <w:szCs w:val="21"/>
        </w:rPr>
        <w:t xml:space="preserve">城市化的程度是衡量一个国家和地区经济、社会、文化、科技水平的重要标志，也是衡量国家和地区社会组织程度和管理水平的重要标志。本数据库将着重编译探讨城市化过程中的问题及其解决途径的权威报告。 </w:t>
      </w:r>
    </w:p>
    <w:p>
      <w:pPr>
        <w:numPr>
          <w:ilvl w:val="1"/>
          <w:numId w:val="2"/>
        </w:numPr>
        <w:tabs>
          <w:tab w:val="left" w:pos="900"/>
        </w:tabs>
        <w:spacing w:line="360" w:lineRule="auto"/>
        <w:ind w:hanging="725"/>
        <w:rPr>
          <w:rFonts w:ascii="宋体" w:hAnsi="宋体"/>
          <w:b/>
          <w:szCs w:val="21"/>
        </w:rPr>
      </w:pPr>
      <w:r>
        <w:rPr>
          <w:rFonts w:hint="eastAsia" w:ascii="宋体" w:hAnsi="宋体"/>
          <w:b/>
          <w:szCs w:val="21"/>
        </w:rPr>
        <w:t>货币政策：</w:t>
      </w:r>
      <w:r>
        <w:rPr>
          <w:rFonts w:hint="eastAsia" w:ascii="宋体" w:hAnsi="宋体"/>
          <w:szCs w:val="21"/>
        </w:rPr>
        <w:t>主要收集国外著名机构与学者最新发布的有关货币政策的相关报告。</w:t>
      </w:r>
    </w:p>
    <w:p>
      <w:pPr>
        <w:numPr>
          <w:ilvl w:val="1"/>
          <w:numId w:val="2"/>
        </w:numPr>
        <w:tabs>
          <w:tab w:val="left" w:pos="900"/>
        </w:tabs>
        <w:spacing w:line="360" w:lineRule="auto"/>
        <w:ind w:left="567" w:firstLine="0"/>
        <w:rPr>
          <w:rFonts w:ascii="宋体" w:hAnsi="宋体"/>
          <w:b/>
          <w:szCs w:val="21"/>
        </w:rPr>
      </w:pPr>
      <w:r>
        <w:rPr>
          <w:rFonts w:hint="eastAsia" w:ascii="宋体" w:hAnsi="宋体"/>
          <w:b/>
          <w:szCs w:val="21"/>
        </w:rPr>
        <w:t>主权财富基金：</w:t>
      </w:r>
      <w:r>
        <w:rPr>
          <w:rFonts w:hint="eastAsia" w:ascii="宋体" w:hAnsi="宋体"/>
          <w:szCs w:val="21"/>
        </w:rPr>
        <w:t>主权财富基金已经成为并将长期成为国际金融市场一股重要力量，对全球股市、债市等都将产生重要影响，对他们的关注必将成为下一个热点。本数据库将收录围绕该热点问题进行分析研究的报告。</w:t>
      </w:r>
    </w:p>
    <w:p>
      <w:pPr>
        <w:tabs>
          <w:tab w:val="left" w:pos="1265"/>
        </w:tabs>
        <w:spacing w:line="360" w:lineRule="auto"/>
        <w:rPr>
          <w:rFonts w:ascii="宋体" w:hAnsi="宋体"/>
          <w:b/>
          <w:szCs w:val="21"/>
        </w:rPr>
      </w:pPr>
      <w:r>
        <w:rPr>
          <w:rFonts w:hint="eastAsia" w:ascii="宋体" w:hAnsi="宋体"/>
          <w:b/>
        </w:rPr>
        <w:t>《</w:t>
      </w:r>
      <w:r>
        <w:rPr>
          <w:rFonts w:hint="eastAsia" w:ascii="宋体" w:hAnsi="宋体"/>
          <w:b/>
          <w:szCs w:val="21"/>
        </w:rPr>
        <w:t>聚焦中国》</w:t>
      </w:r>
    </w:p>
    <w:p>
      <w:pPr>
        <w:spacing w:line="360" w:lineRule="auto"/>
        <w:ind w:firstLine="420" w:firstLineChars="200"/>
        <w:rPr>
          <w:rFonts w:ascii="宋体" w:hAnsi="宋体"/>
          <w:szCs w:val="21"/>
        </w:rPr>
      </w:pPr>
      <w:r>
        <w:rPr>
          <w:rFonts w:hint="eastAsia" w:ascii="宋体" w:hAnsi="宋体"/>
          <w:szCs w:val="21"/>
        </w:rPr>
        <w:t>主要以国际视野从外部考察中国经济社会发展的方方面面，为国内客户提供一系列独特的有关中国经济社会热点问题的分析报告。本数据库分为3个子库。</w:t>
      </w:r>
    </w:p>
    <w:p>
      <w:pPr>
        <w:numPr>
          <w:ilvl w:val="1"/>
          <w:numId w:val="3"/>
        </w:numPr>
        <w:tabs>
          <w:tab w:val="left" w:pos="900"/>
        </w:tabs>
        <w:spacing w:line="360" w:lineRule="auto"/>
        <w:ind w:hanging="726"/>
        <w:rPr>
          <w:rFonts w:ascii="宋体" w:hAnsi="宋体"/>
          <w:szCs w:val="21"/>
        </w:rPr>
      </w:pPr>
      <w:r>
        <w:rPr>
          <w:rFonts w:hint="eastAsia" w:ascii="宋体" w:hAnsi="宋体"/>
          <w:b/>
          <w:szCs w:val="21"/>
        </w:rPr>
        <w:t>宏观经济研究：</w:t>
      </w:r>
      <w:r>
        <w:rPr>
          <w:rFonts w:hint="eastAsia" w:ascii="宋体" w:hAnsi="宋体"/>
          <w:szCs w:val="21"/>
        </w:rPr>
        <w:t>中国的宏观经济走势一直是国际权威机构与知名学者乐此不疲的话题，本数据库将持续整理他们的最新观点，为国内相关部门与学者提供研究参考。</w:t>
      </w:r>
    </w:p>
    <w:p>
      <w:pPr>
        <w:numPr>
          <w:ilvl w:val="1"/>
          <w:numId w:val="3"/>
        </w:numPr>
        <w:tabs>
          <w:tab w:val="left" w:pos="900"/>
        </w:tabs>
        <w:spacing w:line="360" w:lineRule="auto"/>
        <w:ind w:hanging="726"/>
        <w:rPr>
          <w:rFonts w:ascii="宋体" w:hAnsi="宋体"/>
          <w:b/>
          <w:szCs w:val="21"/>
        </w:rPr>
      </w:pPr>
      <w:r>
        <w:rPr>
          <w:rFonts w:hint="eastAsia" w:ascii="宋体" w:hAnsi="宋体"/>
          <w:b/>
          <w:szCs w:val="21"/>
        </w:rPr>
        <w:t>金融改革与发展：</w:t>
      </w:r>
      <w:r>
        <w:rPr>
          <w:rFonts w:hint="eastAsia" w:ascii="宋体" w:hAnsi="宋体"/>
          <w:szCs w:val="21"/>
        </w:rPr>
        <w:t>中国独特的金融发展模式吸引了无数国外专家学者与知名研究机构对其深入研究，本数据库将收录他们以国际视野对中国金融改革与发展现状、问题和趋势的分析研究报告，并希望他们独特的观点与视角能给国内读者另一番启示。</w:t>
      </w:r>
    </w:p>
    <w:p>
      <w:pPr>
        <w:numPr>
          <w:ilvl w:val="1"/>
          <w:numId w:val="3"/>
        </w:numPr>
        <w:tabs>
          <w:tab w:val="left" w:pos="900"/>
        </w:tabs>
        <w:spacing w:line="360" w:lineRule="auto"/>
        <w:ind w:hanging="726"/>
        <w:rPr>
          <w:rFonts w:ascii="宋体" w:hAnsi="宋体"/>
          <w:szCs w:val="21"/>
        </w:rPr>
      </w:pPr>
      <w:r>
        <w:rPr>
          <w:rFonts w:hint="eastAsia" w:ascii="宋体" w:hAnsi="宋体"/>
          <w:b/>
          <w:szCs w:val="21"/>
        </w:rPr>
        <w:t>构建和谐社会：</w:t>
      </w:r>
      <w:r>
        <w:rPr>
          <w:rFonts w:hint="eastAsia" w:ascii="宋体" w:hAnsi="宋体"/>
          <w:szCs w:val="21"/>
        </w:rPr>
        <w:t>随着我国经济高速增长，人与社会、人与自然之间的矛盾日益突出，和谐发展理念的破土而出，并得到了国内外专家学者的一致推崇，本数据库主要编译有关中国和谐发展的研究性文章，以期为国内相关领域的研究提供有价值的借鉴与参考。</w:t>
      </w:r>
    </w:p>
    <w:p>
      <w:pPr>
        <w:spacing w:before="156" w:beforeLines="50" w:after="156" w:afterLines="50"/>
        <w:rPr>
          <w:rFonts w:ascii="宋体" w:hAnsi="宋体"/>
          <w:b/>
          <w:szCs w:val="21"/>
        </w:rPr>
      </w:pPr>
      <w:bookmarkStart w:id="7" w:name="_Toc227558336"/>
      <w:r>
        <w:rPr>
          <w:rFonts w:hint="eastAsia" w:ascii="宋体" w:hAnsi="宋体"/>
          <w:b/>
        </w:rPr>
        <w:t>《国别研究》</w:t>
      </w:r>
      <w:bookmarkEnd w:id="7"/>
    </w:p>
    <w:p>
      <w:pPr>
        <w:spacing w:line="360" w:lineRule="auto"/>
        <w:ind w:firstLine="420" w:firstLineChars="200"/>
        <w:rPr>
          <w:szCs w:val="21"/>
        </w:rPr>
      </w:pPr>
      <w:r>
        <w:rPr>
          <w:rFonts w:hint="eastAsia"/>
          <w:szCs w:val="21"/>
        </w:rPr>
        <w:t>重点关注全球主要国家与经济体（包括美洲、欧洲、亚太地区、新兴经济体及其他），及时为客户提供有关这些经济体的宏观经济形势、金融形势等热点问题的报告。</w:t>
      </w:r>
      <w:bookmarkStart w:id="8" w:name="_Toc227558337"/>
    </w:p>
    <w:p>
      <w:pPr>
        <w:spacing w:before="156" w:beforeLines="50" w:after="156" w:afterLines="50"/>
        <w:rPr>
          <w:rFonts w:ascii="宋体" w:hAnsi="宋体"/>
          <w:b/>
          <w:szCs w:val="21"/>
        </w:rPr>
      </w:pPr>
      <w:r>
        <w:rPr>
          <w:rFonts w:hint="eastAsia" w:ascii="宋体" w:hAnsi="宋体"/>
          <w:b/>
        </w:rPr>
        <w:t>《重点产业》</w:t>
      </w:r>
      <w:bookmarkEnd w:id="8"/>
    </w:p>
    <w:p>
      <w:pPr>
        <w:spacing w:line="360" w:lineRule="auto"/>
        <w:ind w:firstLine="482"/>
      </w:pPr>
      <w:r>
        <w:rPr>
          <w:rFonts w:hint="eastAsia"/>
        </w:rPr>
        <w:t>为了更好地了解、分析全球产业经济发展态势，本数据库将集中优势资源，为客户重点编译全球著名研究机构、专家、学者对于一些重点产业（如房地产、高新技术、能源与矿产、高新技术、金融业、服务业、制造业等）发展趋势的分析报告。</w:t>
      </w:r>
      <w:bookmarkStart w:id="9" w:name="_Toc227558338"/>
    </w:p>
    <w:p>
      <w:pPr>
        <w:spacing w:before="156" w:beforeLines="50" w:after="156" w:afterLines="50"/>
        <w:rPr>
          <w:rFonts w:ascii="宋体" w:hAnsi="宋体"/>
          <w:b/>
          <w:szCs w:val="21"/>
        </w:rPr>
      </w:pPr>
      <w:r>
        <w:rPr>
          <w:rFonts w:hint="eastAsia" w:ascii="宋体" w:hAnsi="宋体"/>
          <w:b/>
        </w:rPr>
        <w:t>《中国视角》</w:t>
      </w:r>
      <w:bookmarkEnd w:id="9"/>
    </w:p>
    <w:p>
      <w:pPr>
        <w:tabs>
          <w:tab w:val="left" w:pos="900"/>
        </w:tabs>
        <w:spacing w:line="360" w:lineRule="auto"/>
        <w:ind w:firstLine="420" w:firstLineChars="200"/>
      </w:pPr>
      <w:r>
        <w:rPr>
          <w:rFonts w:hint="eastAsia"/>
        </w:rPr>
        <w:t>主要收录国内权威机构、知名专家、学者对于国际经济金融问题的分析判断文章，反映在国际经济金融问题上的中国视角，旨在一方面为国内相关机构、人士的研究和决策提供信息参考，另一方面也为外国专家与学者了解中国国内对相关问题的研究提供一个窗口。该数据库包含三个子库：世界经济研究、国际金融研究以及国际镜鉴。</w:t>
      </w:r>
      <w:bookmarkEnd w:id="2"/>
      <w:bookmarkEnd w:id="3"/>
      <w:bookmarkStart w:id="10" w:name="_Toc227558339"/>
    </w:p>
    <w:bookmarkEnd w:id="10"/>
    <w:p>
      <w:pPr>
        <w:spacing w:before="156" w:beforeLines="50" w:after="156" w:afterLines="50"/>
        <w:rPr>
          <w:rFonts w:ascii="宋体" w:hAnsi="宋体"/>
          <w:b/>
        </w:rPr>
      </w:pPr>
      <w:r>
        <w:rPr>
          <w:rFonts w:hint="eastAsia" w:ascii="宋体" w:hAnsi="宋体"/>
          <w:b/>
        </w:rPr>
        <w:t>《时评与要闻》</w:t>
      </w:r>
    </w:p>
    <w:p>
      <w:pPr>
        <w:spacing w:line="360" w:lineRule="auto"/>
        <w:ind w:firstLine="420" w:firstLineChars="200"/>
        <w:rPr>
          <w:szCs w:val="21"/>
        </w:rPr>
      </w:pPr>
      <w:r>
        <w:rPr>
          <w:rFonts w:hint="eastAsia"/>
          <w:szCs w:val="21"/>
        </w:rPr>
        <w:t>包括“</w:t>
      </w:r>
      <w:r>
        <w:rPr>
          <w:rFonts w:hint="eastAsia" w:ascii="宋体" w:hAnsi="宋体"/>
          <w:b/>
          <w:szCs w:val="21"/>
        </w:rPr>
        <w:t>国际财经时评”</w:t>
      </w:r>
      <w:r>
        <w:rPr>
          <w:rFonts w:hint="eastAsia" w:ascii="宋体" w:hAnsi="宋体"/>
          <w:szCs w:val="21"/>
        </w:rPr>
        <w:t>以及“</w:t>
      </w:r>
      <w:r>
        <w:rPr>
          <w:rFonts w:hint="eastAsia" w:ascii="宋体" w:hAnsi="宋体"/>
          <w:b/>
          <w:szCs w:val="21"/>
        </w:rPr>
        <w:t>国际财经资讯”</w:t>
      </w:r>
      <w:r>
        <w:rPr>
          <w:rFonts w:hint="eastAsia" w:ascii="宋体" w:hAnsi="宋体"/>
          <w:szCs w:val="21"/>
        </w:rPr>
        <w:t>两个子库，旨在</w:t>
      </w:r>
      <w:r>
        <w:rPr>
          <w:rFonts w:hint="eastAsia"/>
          <w:szCs w:val="21"/>
        </w:rPr>
        <w:t>精选全球知名媒体的部分头版、头条新闻及评论文章，并及时编译成中文，以供客户及时了解国际重大财经事件，把握财经大势。</w:t>
      </w:r>
      <w:bookmarkStart w:id="11" w:name="_Toc418776649"/>
    </w:p>
    <w:p>
      <w:pPr>
        <w:spacing w:line="360" w:lineRule="auto"/>
        <w:rPr>
          <w:rFonts w:ascii="黑体" w:hAnsi="黑体" w:eastAsia="黑体"/>
          <w:sz w:val="24"/>
          <w:szCs w:val="24"/>
        </w:rPr>
      </w:pPr>
      <w:r>
        <w:rPr>
          <w:rFonts w:hint="eastAsia" w:ascii="黑体" w:hAnsi="黑体" w:eastAsia="黑体"/>
          <w:sz w:val="24"/>
          <w:szCs w:val="24"/>
        </w:rPr>
        <w:t>二、主要特点</w:t>
      </w:r>
      <w:bookmarkEnd w:id="11"/>
    </w:p>
    <w:p>
      <w:pPr>
        <w:spacing w:line="360" w:lineRule="auto"/>
        <w:ind w:firstLine="420"/>
        <w:rPr>
          <w:rFonts w:ascii="宋体" w:hAnsi="宋体"/>
          <w:szCs w:val="21"/>
        </w:rPr>
      </w:pPr>
      <w:r>
        <w:rPr>
          <w:rFonts w:hint="eastAsia" w:ascii="宋体" w:hAnsi="宋体"/>
          <w:szCs w:val="21"/>
        </w:rPr>
        <w:t>及时编译全球顶尖科研机构、著名学者的最新研究成果，全方位反映国际权威机构、专家学者对全球经济金融走势的前瞻性分析与判断，以及对全球热点问题的点评与见解，广泛收集国外有影响力的经济金融理论与实务研究成果，开拓出具有独特风格的研究报告窗口，从而为有关部门的管理决策、理论研究、微观操作提供有价值的高端决策参考。</w:t>
      </w:r>
    </w:p>
    <w:p>
      <w:pPr>
        <w:spacing w:line="360" w:lineRule="auto"/>
        <w:rPr>
          <w:rFonts w:ascii="黑体" w:hAnsi="黑体" w:eastAsia="黑体"/>
          <w:sz w:val="24"/>
          <w:szCs w:val="24"/>
        </w:rPr>
      </w:pPr>
      <w:bookmarkStart w:id="12" w:name="_Toc418776650"/>
      <w:r>
        <w:rPr>
          <w:rFonts w:hint="eastAsia" w:ascii="黑体" w:hAnsi="黑体" w:eastAsia="黑体"/>
          <w:sz w:val="24"/>
          <w:szCs w:val="24"/>
        </w:rPr>
        <w:t>三、产品价值</w:t>
      </w:r>
      <w:bookmarkEnd w:id="12"/>
    </w:p>
    <w:p>
      <w:pPr>
        <w:spacing w:line="360" w:lineRule="auto"/>
        <w:ind w:firstLine="420"/>
        <w:rPr>
          <w:rFonts w:ascii="宋体" w:hAnsi="宋体"/>
          <w:szCs w:val="21"/>
        </w:rPr>
      </w:pPr>
      <w:r>
        <w:rPr>
          <w:rFonts w:hint="eastAsia" w:ascii="宋体" w:hAnsi="宋体"/>
          <w:szCs w:val="21"/>
        </w:rPr>
        <w:t>◇实时跟踪全球重大经济金融事件的最新进展并对发展趋势进行预判。</w:t>
      </w:r>
    </w:p>
    <w:p>
      <w:pPr>
        <w:spacing w:line="360" w:lineRule="auto"/>
        <w:ind w:firstLine="420"/>
        <w:rPr>
          <w:rFonts w:ascii="宋体" w:hAnsi="宋体"/>
          <w:szCs w:val="21"/>
        </w:rPr>
      </w:pPr>
      <w:r>
        <w:rPr>
          <w:rFonts w:hint="eastAsia" w:ascii="宋体" w:hAnsi="宋体"/>
          <w:szCs w:val="21"/>
        </w:rPr>
        <w:t>◇敏锐洞察全球重点产业的发展阶段、发展态势及未来趋势。</w:t>
      </w:r>
    </w:p>
    <w:p>
      <w:pPr>
        <w:spacing w:line="360" w:lineRule="auto"/>
        <w:ind w:firstLine="420"/>
        <w:rPr>
          <w:rFonts w:ascii="宋体" w:hAnsi="宋体"/>
          <w:szCs w:val="21"/>
        </w:rPr>
      </w:pPr>
      <w:r>
        <w:rPr>
          <w:rFonts w:hint="eastAsia" w:ascii="宋体" w:hAnsi="宋体"/>
          <w:szCs w:val="21"/>
        </w:rPr>
        <w:t>◇精准把握国际顶尖机构及知名学者对国际经济金融形势的最新判断。</w:t>
      </w:r>
    </w:p>
    <w:p>
      <w:pPr>
        <w:spacing w:line="360" w:lineRule="auto"/>
        <w:ind w:firstLine="420"/>
        <w:rPr>
          <w:rFonts w:ascii="宋体" w:hAnsi="宋体"/>
          <w:szCs w:val="21"/>
        </w:rPr>
      </w:pPr>
      <w:r>
        <w:rPr>
          <w:rFonts w:hint="eastAsia" w:ascii="宋体" w:hAnsi="宋体"/>
          <w:szCs w:val="21"/>
        </w:rPr>
        <w:t>◇深度解析全球经济社会发展的热点、焦点与难点问题。</w:t>
      </w:r>
    </w:p>
    <w:p>
      <w:pPr>
        <w:spacing w:line="360" w:lineRule="auto"/>
        <w:ind w:firstLine="420"/>
        <w:rPr>
          <w:rFonts w:hint="eastAsia" w:ascii="宋体" w:hAnsi="宋体"/>
          <w:szCs w:val="21"/>
        </w:rPr>
      </w:pPr>
      <w:r>
        <w:rPr>
          <w:rFonts w:hint="eastAsia" w:ascii="宋体" w:hAnsi="宋体"/>
          <w:szCs w:val="21"/>
        </w:rPr>
        <w:t>◇充分镜鉴国际权威机构、国外政府与企业实体先进的管理经验和前瞻性思维。</w:t>
      </w:r>
    </w:p>
    <w:p>
      <w:pPr>
        <w:spacing w:line="360" w:lineRule="auto"/>
        <w:ind w:firstLine="420"/>
        <w:rPr>
          <w:rFonts w:hint="eastAsia" w:ascii="宋体" w:hAnsi="宋体"/>
          <w:szCs w:val="21"/>
        </w:rPr>
      </w:pPr>
    </w:p>
    <w:p>
      <w:pPr>
        <w:spacing w:before="156" w:beforeLines="50" w:after="156" w:afterLines="50"/>
        <w:ind w:firstLine="422" w:firstLineChars="200"/>
        <w:rPr>
          <w:szCs w:val="21"/>
        </w:rPr>
      </w:pPr>
      <w:r>
        <w:rPr>
          <w:b/>
          <w:color w:val="333333"/>
          <w:szCs w:val="21"/>
        </w:rPr>
        <w:t>浏览地址：</w:t>
      </w:r>
      <w:r>
        <w:fldChar w:fldCharType="begin"/>
      </w:r>
      <w:r>
        <w:instrText xml:space="preserve"> HYPERLINK "http://www.drcnet.com.cn/www/worldeconomy/" </w:instrText>
      </w:r>
      <w:r>
        <w:fldChar w:fldCharType="separate"/>
      </w:r>
      <w:r>
        <w:rPr>
          <w:rStyle w:val="11"/>
          <w:szCs w:val="21"/>
        </w:rPr>
        <w:t>http://www.drcnet.com.cn/www/worldeconomy/</w:t>
      </w:r>
      <w:r>
        <w:rPr>
          <w:rStyle w:val="11"/>
          <w:szCs w:val="21"/>
        </w:rPr>
        <w:fldChar w:fldCharType="end"/>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rFonts w:hint="eastAsia"/>
      </w:rPr>
      <w:t>________________________________________________________________________________________</w:t>
    </w:r>
  </w:p>
  <w:p>
    <w:pPr>
      <w:pStyle w:val="7"/>
    </w:pPr>
    <w:r>
      <w:rPr>
        <w:rFonts w:hint="eastAsia"/>
      </w:rPr>
      <w:t xml:space="preserve">Add: 北京市朝内大街225号 100010                            Email: </w:t>
    </w:r>
    <w:r>
      <w:fldChar w:fldCharType="begin"/>
    </w:r>
    <w:r>
      <w:instrText xml:space="preserve"> HYPERLINK "mailto:service@drcnet.com.cn" </w:instrText>
    </w:r>
    <w:r>
      <w:fldChar w:fldCharType="separate"/>
    </w:r>
    <w:r>
      <w:rPr>
        <w:rStyle w:val="11"/>
        <w:rFonts w:hint="eastAsia"/>
      </w:rPr>
      <w:t>service@drcnet.com.cn</w:t>
    </w:r>
    <w:r>
      <w:rPr>
        <w:rStyle w:val="11"/>
        <w:rFonts w:hint="eastAsia"/>
      </w:rPr>
      <w:fldChar w:fldCharType="end"/>
    </w:r>
  </w:p>
  <w:p>
    <w:pPr>
      <w:pStyle w:val="7"/>
    </w:pPr>
    <w:r>
      <w:rPr>
        <w:rFonts w:hint="eastAsia"/>
      </w:rPr>
      <w:t xml:space="preserve">Tel: 010-85112336   Fax: 010-85113886                           </w:t>
    </w:r>
    <w:r>
      <w:fldChar w:fldCharType="begin"/>
    </w:r>
    <w:r>
      <w:instrText xml:space="preserve"> HYPERLINK "http://www.drcnet.com.cn" </w:instrText>
    </w:r>
    <w:r>
      <w:fldChar w:fldCharType="separate"/>
    </w:r>
    <w:r>
      <w:rPr>
        <w:rStyle w:val="11"/>
        <w:rFonts w:hint="eastAsia"/>
      </w:rPr>
      <w:t>http://www.drcnet.com.cn</w:t>
    </w:r>
    <w:r>
      <w:rPr>
        <w:rStyle w:val="11"/>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sz w:val="20"/>
      </w:rPr>
      <w:drawing>
        <wp:anchor distT="0" distB="0" distL="114300" distR="114300" simplePos="0" relativeHeight="251659264" behindDoc="0" locked="0" layoutInCell="1" allowOverlap="1">
          <wp:simplePos x="0" y="0"/>
          <wp:positionH relativeFrom="column">
            <wp:posOffset>80645</wp:posOffset>
          </wp:positionH>
          <wp:positionV relativeFrom="paragraph">
            <wp:posOffset>-361950</wp:posOffset>
          </wp:positionV>
          <wp:extent cx="1493520" cy="426720"/>
          <wp:effectExtent l="0" t="0" r="0" b="0"/>
          <wp:wrapNone/>
          <wp:docPr id="15" name="图片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93520" cy="426720"/>
                  </a:xfrm>
                  <a:prstGeom prst="rect">
                    <a:avLst/>
                  </a:prstGeom>
                  <a:noFill/>
                </pic:spPr>
              </pic:pic>
            </a:graphicData>
          </a:graphic>
        </wp:anchor>
      </w:drawing>
    </w:r>
    <w:r>
      <w:rPr>
        <w:rFonts w:hint="eastAsia"/>
      </w:rPr>
      <w:t xml:space="preserve">  北京国研网信息股份有限公司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0B2"/>
    <w:multiLevelType w:val="multilevel"/>
    <w:tmpl w:val="478750B2"/>
    <w:lvl w:ilvl="0" w:tentative="0">
      <w:start w:val="1"/>
      <w:numFmt w:val="decimal"/>
      <w:lvlText w:val="%1."/>
      <w:lvlJc w:val="left"/>
      <w:pPr>
        <w:tabs>
          <w:tab w:val="left" w:pos="845"/>
        </w:tabs>
        <w:ind w:left="845" w:hanging="420"/>
      </w:p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EB27B19"/>
    <w:multiLevelType w:val="multilevel"/>
    <w:tmpl w:val="6EB27B19"/>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720"/>
        </w:tabs>
        <w:ind w:left="567" w:hanging="567"/>
      </w:pPr>
    </w:lvl>
    <w:lvl w:ilvl="2" w:tentative="0">
      <w:start w:val="1"/>
      <w:numFmt w:val="decimal"/>
      <w:pStyle w:val="4"/>
      <w:lvlText w:val="%1.%2.%3."/>
      <w:lvlJc w:val="left"/>
      <w:pPr>
        <w:tabs>
          <w:tab w:val="left" w:pos="1080"/>
        </w:tabs>
        <w:ind w:left="709" w:hanging="709"/>
      </w:pPr>
    </w:lvl>
    <w:lvl w:ilvl="3" w:tentative="0">
      <w:start w:val="1"/>
      <w:numFmt w:val="decimal"/>
      <w:lvlText w:val="%1.%2.%3.%4."/>
      <w:lvlJc w:val="left"/>
      <w:pPr>
        <w:tabs>
          <w:tab w:val="left" w:pos="1440"/>
        </w:tabs>
        <w:ind w:left="851" w:hanging="851"/>
      </w:pPr>
    </w:lvl>
    <w:lvl w:ilvl="4" w:tentative="0">
      <w:start w:val="1"/>
      <w:numFmt w:val="decimal"/>
      <w:lvlText w:val="%1.%2.%3.%4.%5."/>
      <w:lvlJc w:val="left"/>
      <w:pPr>
        <w:tabs>
          <w:tab w:val="left" w:pos="1800"/>
        </w:tabs>
        <w:ind w:left="992" w:hanging="992"/>
      </w:pPr>
    </w:lvl>
    <w:lvl w:ilvl="5" w:tentative="0">
      <w:start w:val="1"/>
      <w:numFmt w:val="decimal"/>
      <w:lvlText w:val="%1.%2.%3.%4.%5.%6."/>
      <w:lvlJc w:val="left"/>
      <w:pPr>
        <w:tabs>
          <w:tab w:val="left" w:pos="1440"/>
        </w:tabs>
        <w:ind w:left="1134" w:hanging="1134"/>
      </w:pPr>
    </w:lvl>
    <w:lvl w:ilvl="6" w:tentative="0">
      <w:start w:val="1"/>
      <w:numFmt w:val="decimal"/>
      <w:lvlText w:val="%1.%2.%3.%4.%5.%6.%7."/>
      <w:lvlJc w:val="left"/>
      <w:pPr>
        <w:tabs>
          <w:tab w:val="left" w:pos="1800"/>
        </w:tabs>
        <w:ind w:left="1276" w:hanging="1276"/>
      </w:pPr>
    </w:lvl>
    <w:lvl w:ilvl="7" w:tentative="0">
      <w:start w:val="1"/>
      <w:numFmt w:val="decimal"/>
      <w:lvlText w:val="%1.%2.%3.%4.%5.%6.%7.%8."/>
      <w:lvlJc w:val="left"/>
      <w:pPr>
        <w:tabs>
          <w:tab w:val="left" w:pos="2160"/>
        </w:tabs>
        <w:ind w:left="1418" w:hanging="1418"/>
      </w:pPr>
    </w:lvl>
    <w:lvl w:ilvl="8" w:tentative="0">
      <w:start w:val="1"/>
      <w:numFmt w:val="decimal"/>
      <w:lvlText w:val="%1.%2.%3.%4.%5.%6.%7.%8.%9."/>
      <w:lvlJc w:val="left"/>
      <w:pPr>
        <w:tabs>
          <w:tab w:val="left" w:pos="2160"/>
        </w:tabs>
        <w:ind w:left="1559" w:hanging="155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3B"/>
    <w:rsid w:val="00025BB9"/>
    <w:rsid w:val="000279C1"/>
    <w:rsid w:val="00043FF7"/>
    <w:rsid w:val="000850EE"/>
    <w:rsid w:val="001112EE"/>
    <w:rsid w:val="00134C7C"/>
    <w:rsid w:val="00144E2B"/>
    <w:rsid w:val="00152A40"/>
    <w:rsid w:val="001F64CD"/>
    <w:rsid w:val="002343B2"/>
    <w:rsid w:val="002403D3"/>
    <w:rsid w:val="00257F45"/>
    <w:rsid w:val="0026604B"/>
    <w:rsid w:val="00272BD5"/>
    <w:rsid w:val="002C5E01"/>
    <w:rsid w:val="002D0791"/>
    <w:rsid w:val="002D794E"/>
    <w:rsid w:val="002E7B0E"/>
    <w:rsid w:val="00302C5C"/>
    <w:rsid w:val="00310565"/>
    <w:rsid w:val="003321C0"/>
    <w:rsid w:val="00347330"/>
    <w:rsid w:val="003709CB"/>
    <w:rsid w:val="00386CFD"/>
    <w:rsid w:val="003B2BEA"/>
    <w:rsid w:val="003C692F"/>
    <w:rsid w:val="003E7D20"/>
    <w:rsid w:val="003F4AD9"/>
    <w:rsid w:val="004025CE"/>
    <w:rsid w:val="00413667"/>
    <w:rsid w:val="004D3869"/>
    <w:rsid w:val="004E2D96"/>
    <w:rsid w:val="0051045A"/>
    <w:rsid w:val="00537E69"/>
    <w:rsid w:val="005A72F4"/>
    <w:rsid w:val="005B4047"/>
    <w:rsid w:val="005E08CE"/>
    <w:rsid w:val="00610BB2"/>
    <w:rsid w:val="00615C0D"/>
    <w:rsid w:val="006661A5"/>
    <w:rsid w:val="0067696C"/>
    <w:rsid w:val="006A71F8"/>
    <w:rsid w:val="006B1D52"/>
    <w:rsid w:val="006C0045"/>
    <w:rsid w:val="006F4D37"/>
    <w:rsid w:val="00716660"/>
    <w:rsid w:val="00731F10"/>
    <w:rsid w:val="00750F86"/>
    <w:rsid w:val="00797E57"/>
    <w:rsid w:val="007B7A8E"/>
    <w:rsid w:val="007D54D0"/>
    <w:rsid w:val="007F0101"/>
    <w:rsid w:val="007F43B4"/>
    <w:rsid w:val="00806553"/>
    <w:rsid w:val="0082572F"/>
    <w:rsid w:val="00853614"/>
    <w:rsid w:val="00857960"/>
    <w:rsid w:val="008762FB"/>
    <w:rsid w:val="008A04E7"/>
    <w:rsid w:val="00903966"/>
    <w:rsid w:val="0098051F"/>
    <w:rsid w:val="009A2508"/>
    <w:rsid w:val="009C3248"/>
    <w:rsid w:val="009C4E3E"/>
    <w:rsid w:val="009D4F45"/>
    <w:rsid w:val="009E42D0"/>
    <w:rsid w:val="00A0105C"/>
    <w:rsid w:val="00A14C24"/>
    <w:rsid w:val="00A52E6B"/>
    <w:rsid w:val="00A633DB"/>
    <w:rsid w:val="00A72769"/>
    <w:rsid w:val="00A7653E"/>
    <w:rsid w:val="00A93E99"/>
    <w:rsid w:val="00AB0FF9"/>
    <w:rsid w:val="00AB49E3"/>
    <w:rsid w:val="00AB7EEF"/>
    <w:rsid w:val="00B04A16"/>
    <w:rsid w:val="00B04F1E"/>
    <w:rsid w:val="00B12291"/>
    <w:rsid w:val="00B1313B"/>
    <w:rsid w:val="00B1413A"/>
    <w:rsid w:val="00B15F3B"/>
    <w:rsid w:val="00B23957"/>
    <w:rsid w:val="00B45B68"/>
    <w:rsid w:val="00B70B21"/>
    <w:rsid w:val="00B80221"/>
    <w:rsid w:val="00BC4076"/>
    <w:rsid w:val="00BD3AED"/>
    <w:rsid w:val="00BD3EA5"/>
    <w:rsid w:val="00C23EE0"/>
    <w:rsid w:val="00CD47D0"/>
    <w:rsid w:val="00D356A6"/>
    <w:rsid w:val="00E10170"/>
    <w:rsid w:val="00E764E0"/>
    <w:rsid w:val="00EC3426"/>
    <w:rsid w:val="00EF4D3C"/>
    <w:rsid w:val="00F361ED"/>
    <w:rsid w:val="00F55323"/>
    <w:rsid w:val="00F810C6"/>
    <w:rsid w:val="00F97711"/>
    <w:rsid w:val="12891B87"/>
    <w:rsid w:val="16EA1034"/>
    <w:rsid w:val="29A710DA"/>
    <w:rsid w:val="724E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numPr>
        <w:ilvl w:val="0"/>
        <w:numId w:val="1"/>
      </w:numPr>
      <w:spacing w:before="340" w:after="330" w:line="576" w:lineRule="auto"/>
      <w:outlineLvl w:val="0"/>
    </w:pPr>
    <w:rPr>
      <w:rFonts w:ascii="Times New Roman" w:hAnsi="Times New Roman" w:eastAsia="宋体" w:cs="Times New Roman"/>
      <w:kern w:val="44"/>
      <w:sz w:val="44"/>
      <w:szCs w:val="44"/>
    </w:rPr>
  </w:style>
  <w:style w:type="paragraph" w:styleId="3">
    <w:name w:val="heading 2"/>
    <w:basedOn w:val="1"/>
    <w:next w:val="1"/>
    <w:link w:val="20"/>
    <w:unhideWhenUsed/>
    <w:qFormat/>
    <w:uiPriority w:val="0"/>
    <w:pPr>
      <w:keepNext/>
      <w:keepLines/>
      <w:tabs>
        <w:tab w:val="left" w:pos="720"/>
      </w:tabs>
      <w:spacing w:before="260" w:after="260" w:line="415" w:lineRule="auto"/>
      <w:ind w:left="567" w:hanging="567"/>
      <w:outlineLvl w:val="1"/>
    </w:pPr>
    <w:rPr>
      <w:rFonts w:ascii="Cambria" w:hAnsi="Cambria" w:eastAsia="宋体" w:cs="宋体"/>
      <w:color w:val="0000FF"/>
      <w:sz w:val="32"/>
      <w:szCs w:val="32"/>
    </w:rPr>
  </w:style>
  <w:style w:type="paragraph" w:styleId="4">
    <w:name w:val="heading 3"/>
    <w:basedOn w:val="1"/>
    <w:next w:val="1"/>
    <w:link w:val="19"/>
    <w:semiHidden/>
    <w:unhideWhenUsed/>
    <w:qFormat/>
    <w:uiPriority w:val="0"/>
    <w:pPr>
      <w:keepNext/>
      <w:keepLines/>
      <w:numPr>
        <w:ilvl w:val="2"/>
        <w:numId w:val="1"/>
      </w:numPr>
      <w:spacing w:before="260" w:after="260" w:line="415" w:lineRule="auto"/>
      <w:outlineLvl w:val="2"/>
    </w:pPr>
    <w:rPr>
      <w:rFonts w:ascii="Times New Roman" w:hAnsi="Times New Roman" w:eastAsia="宋体" w:cs="Times New Roman"/>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link w:val="14"/>
    <w:uiPriority w:val="0"/>
    <w:rPr>
      <w:rFonts w:ascii="宋体" w:hAnsi="Courier New" w:eastAsia="宋体" w:cs="Times New Roman"/>
      <w:szCs w:val="20"/>
    </w:r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00"/>
      <w:u w:val="none"/>
    </w:rPr>
  </w:style>
  <w:style w:type="character" w:customStyle="1" w:styleId="12">
    <w:name w:val="页眉 Char"/>
    <w:basedOn w:val="10"/>
    <w:link w:val="8"/>
    <w:uiPriority w:val="99"/>
    <w:rPr>
      <w:sz w:val="18"/>
      <w:szCs w:val="18"/>
    </w:rPr>
  </w:style>
  <w:style w:type="character" w:customStyle="1" w:styleId="13">
    <w:name w:val="页脚 Char"/>
    <w:basedOn w:val="10"/>
    <w:link w:val="7"/>
    <w:uiPriority w:val="99"/>
    <w:rPr>
      <w:sz w:val="18"/>
      <w:szCs w:val="18"/>
    </w:rPr>
  </w:style>
  <w:style w:type="character" w:customStyle="1" w:styleId="14">
    <w:name w:val="纯文本 Char"/>
    <w:basedOn w:val="10"/>
    <w:link w:val="5"/>
    <w:uiPriority w:val="0"/>
    <w:rPr>
      <w:rFonts w:ascii="宋体" w:hAnsi="Courier New" w:eastAsia="宋体" w:cs="Times New Roman"/>
      <w:szCs w:val="20"/>
    </w:rPr>
  </w:style>
  <w:style w:type="paragraph" w:styleId="15">
    <w:name w:val="List Paragraph"/>
    <w:basedOn w:val="1"/>
    <w:qFormat/>
    <w:uiPriority w:val="34"/>
    <w:pPr>
      <w:ind w:firstLine="420" w:firstLineChars="200"/>
    </w:pPr>
  </w:style>
  <w:style w:type="character" w:customStyle="1" w:styleId="16">
    <w:name w:val="批注框文本 Char"/>
    <w:basedOn w:val="10"/>
    <w:link w:val="6"/>
    <w:semiHidden/>
    <w:uiPriority w:val="99"/>
    <w:rPr>
      <w:sz w:val="18"/>
      <w:szCs w:val="18"/>
    </w:rPr>
  </w:style>
  <w:style w:type="character" w:customStyle="1" w:styleId="17">
    <w:name w:val="标题 1 Char"/>
    <w:basedOn w:val="10"/>
    <w:link w:val="2"/>
    <w:uiPriority w:val="0"/>
    <w:rPr>
      <w:rFonts w:ascii="Times New Roman" w:hAnsi="Times New Roman" w:eastAsia="宋体" w:cs="Times New Roman"/>
      <w:kern w:val="44"/>
      <w:sz w:val="44"/>
      <w:szCs w:val="44"/>
    </w:rPr>
  </w:style>
  <w:style w:type="character" w:customStyle="1" w:styleId="18">
    <w:name w:val="标题 2 Char"/>
    <w:basedOn w:val="10"/>
    <w:semiHidden/>
    <w:uiPriority w:val="9"/>
    <w:rPr>
      <w:rFonts w:asciiTheme="majorHAnsi" w:hAnsiTheme="majorHAnsi" w:eastAsiaTheme="majorEastAsia" w:cstheme="majorBidi"/>
      <w:b/>
      <w:bCs/>
      <w:sz w:val="32"/>
      <w:szCs w:val="32"/>
    </w:rPr>
  </w:style>
  <w:style w:type="character" w:customStyle="1" w:styleId="19">
    <w:name w:val="标题 3 Char"/>
    <w:basedOn w:val="10"/>
    <w:link w:val="4"/>
    <w:semiHidden/>
    <w:uiPriority w:val="0"/>
    <w:rPr>
      <w:rFonts w:ascii="Times New Roman" w:hAnsi="Times New Roman" w:eastAsia="宋体" w:cs="Times New Roman"/>
      <w:sz w:val="32"/>
      <w:szCs w:val="32"/>
    </w:rPr>
  </w:style>
  <w:style w:type="character" w:customStyle="1" w:styleId="20">
    <w:name w:val="标题 2 Char1"/>
    <w:basedOn w:val="10"/>
    <w:link w:val="3"/>
    <w:locked/>
    <w:uiPriority w:val="0"/>
    <w:rPr>
      <w:rFonts w:ascii="Cambria" w:hAnsi="Cambria" w:eastAsia="宋体" w:cs="宋体"/>
      <w:color w:val="0000F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EE442-C05F-44DD-8A84-7181E1F1B045}">
  <ds:schemaRefs/>
</ds:datastoreItem>
</file>

<file path=docProps/app.xml><?xml version="1.0" encoding="utf-8"?>
<Properties xmlns="http://schemas.openxmlformats.org/officeDocument/2006/extended-properties" xmlns:vt="http://schemas.openxmlformats.org/officeDocument/2006/docPropsVTypes">
  <Template>Normal</Template>
  <Pages>5</Pages>
  <Words>540</Words>
  <Characters>3079</Characters>
  <Lines>25</Lines>
  <Paragraphs>7</Paragraphs>
  <TotalTime>3</TotalTime>
  <ScaleCrop>false</ScaleCrop>
  <LinksUpToDate>false</LinksUpToDate>
  <CharactersWithSpaces>3612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2017-06-30T03:18:00Z</dcterms:created>
  <dc:creator>王  航 AW-01</dc:creator>
  <cp:lastModifiedBy>赵鑫慧</cp:lastModifiedBy>
  <dcterms:modified xsi:type="dcterms:W3CDTF">2019-03-06T02:26:52Z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